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color w:val="auto"/>
          <w:sz w:val="21"/>
          <w:szCs w:val="21"/>
        </w:rPr>
      </w:pPr>
    </w:p>
    <w:p>
      <w:pPr>
        <w:spacing w:line="360" w:lineRule="auto"/>
        <w:rPr>
          <w:b/>
          <w:color w:val="auto"/>
          <w:sz w:val="21"/>
          <w:szCs w:val="21"/>
        </w:rPr>
      </w:pPr>
    </w:p>
    <w:p>
      <w:pPr>
        <w:spacing w:line="360" w:lineRule="auto"/>
        <w:rPr>
          <w:b/>
          <w:color w:val="auto"/>
          <w:sz w:val="21"/>
          <w:szCs w:val="21"/>
        </w:rPr>
      </w:pPr>
    </w:p>
    <w:p>
      <w:pPr>
        <w:spacing w:line="360" w:lineRule="auto"/>
        <w:rPr>
          <w:b/>
          <w:color w:val="auto"/>
          <w:sz w:val="21"/>
          <w:szCs w:val="21"/>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微软雅黑" w:hAnsi="微软雅黑" w:eastAsia="微软雅黑" w:cs="微软雅黑"/>
          <w:b/>
          <w:bCs w:val="0"/>
          <w:color w:val="auto"/>
          <w:sz w:val="50"/>
          <w:szCs w:val="50"/>
        </w:rPr>
      </w:pPr>
      <w:r>
        <w:rPr>
          <w:rFonts w:hint="eastAsia" w:ascii="微软雅黑" w:hAnsi="微软雅黑" w:eastAsia="微软雅黑" w:cs="微软雅黑"/>
          <w:b/>
          <w:bCs w:val="0"/>
          <w:color w:val="auto"/>
          <w:sz w:val="50"/>
          <w:szCs w:val="50"/>
        </w:rPr>
        <w:t>济宁市“十四五”城乡水务发展规划</w:t>
      </w:r>
    </w:p>
    <w:p>
      <w:pPr>
        <w:jc w:val="center"/>
        <w:rPr>
          <w:rFonts w:cs="仿宋_GB2312" w:asciiTheme="minorEastAsia" w:hAnsiTheme="minorEastAsia"/>
          <w:b/>
          <w:bCs w:val="0"/>
          <w:color w:val="auto"/>
          <w:sz w:val="40"/>
          <w:szCs w:val="40"/>
        </w:rPr>
      </w:pPr>
      <w:bookmarkStart w:id="0" w:name="_Hlk18916691"/>
    </w:p>
    <w:p>
      <w:pPr>
        <w:jc w:val="center"/>
        <w:rPr>
          <w:rFonts w:cs="仿宋_GB2312" w:asciiTheme="minorEastAsia" w:hAnsiTheme="minorEastAsia"/>
          <w:b/>
          <w:bCs w:val="0"/>
          <w:color w:val="auto"/>
          <w:szCs w:val="32"/>
        </w:rPr>
      </w:pPr>
    </w:p>
    <w:p>
      <w:pPr>
        <w:jc w:val="center"/>
        <w:rPr>
          <w:rFonts w:cs="仿宋_GB2312" w:asciiTheme="minorEastAsia" w:hAnsiTheme="minorEastAsia"/>
          <w:b/>
          <w:bCs w:val="0"/>
          <w:color w:val="auto"/>
          <w:szCs w:val="32"/>
        </w:rPr>
      </w:pPr>
    </w:p>
    <w:p>
      <w:pPr>
        <w:jc w:val="center"/>
        <w:rPr>
          <w:rFonts w:cs="仿宋_GB2312" w:asciiTheme="minorEastAsia" w:hAnsiTheme="minorEastAsia"/>
          <w:b/>
          <w:bCs w:val="0"/>
          <w:color w:val="auto"/>
          <w:szCs w:val="32"/>
        </w:rPr>
      </w:pPr>
    </w:p>
    <w:p>
      <w:pPr>
        <w:jc w:val="center"/>
        <w:rPr>
          <w:rFonts w:cs="仿宋_GB2312" w:asciiTheme="minorEastAsia" w:hAnsiTheme="minorEastAsia"/>
          <w:b/>
          <w:bCs w:val="0"/>
          <w:color w:val="auto"/>
          <w:szCs w:val="32"/>
        </w:rPr>
      </w:pPr>
    </w:p>
    <w:p>
      <w:pPr>
        <w:jc w:val="center"/>
        <w:rPr>
          <w:rFonts w:cs="仿宋_GB2312" w:asciiTheme="minorEastAsia" w:hAnsiTheme="minorEastAsia"/>
          <w:b/>
          <w:bCs w:val="0"/>
          <w:color w:val="auto"/>
          <w:szCs w:val="32"/>
        </w:rPr>
      </w:pPr>
    </w:p>
    <w:p>
      <w:pPr>
        <w:pStyle w:val="2"/>
        <w:rPr>
          <w:color w:val="auto"/>
        </w:rPr>
      </w:pPr>
    </w:p>
    <w:p>
      <w:pPr>
        <w:jc w:val="center"/>
        <w:rPr>
          <w:rFonts w:cs="仿宋_GB2312" w:asciiTheme="minorEastAsia" w:hAnsiTheme="minorEastAsia"/>
          <w:b/>
          <w:bCs w:val="0"/>
          <w:color w:val="auto"/>
          <w:szCs w:val="32"/>
        </w:rPr>
      </w:pPr>
    </w:p>
    <w:bookmarkEnd w:id="0"/>
    <w:p>
      <w:pPr>
        <w:jc w:val="center"/>
        <w:rPr>
          <w:rFonts w:cs="仿宋_GB2312" w:asciiTheme="minorEastAsia" w:hAnsiTheme="minorEastAsia"/>
          <w:b/>
          <w:bCs w:val="0"/>
          <w:color w:val="auto"/>
          <w:szCs w:val="32"/>
        </w:rPr>
      </w:pPr>
    </w:p>
    <w:p>
      <w:pPr>
        <w:jc w:val="center"/>
        <w:rPr>
          <w:rFonts w:cs="仿宋_GB2312" w:asciiTheme="minorEastAsia" w:hAnsiTheme="minorEastAsia"/>
          <w:b/>
          <w:bCs w:val="0"/>
          <w:color w:val="auto"/>
          <w:szCs w:val="32"/>
        </w:rPr>
      </w:pPr>
    </w:p>
    <w:p>
      <w:pPr>
        <w:pStyle w:val="2"/>
        <w:rPr>
          <w:rFonts w:cs="仿宋_GB2312" w:asciiTheme="minorEastAsia" w:hAnsiTheme="minorEastAsia"/>
          <w:b/>
          <w:bCs w:val="0"/>
          <w:color w:val="auto"/>
          <w:szCs w:val="32"/>
        </w:rPr>
      </w:pPr>
    </w:p>
    <w:p>
      <w:pPr>
        <w:pStyle w:val="2"/>
        <w:rPr>
          <w:rFonts w:cs="仿宋_GB2312" w:asciiTheme="minorEastAsia" w:hAnsiTheme="minorEastAsia"/>
          <w:b/>
          <w:bCs w:val="0"/>
          <w:color w:val="auto"/>
          <w:szCs w:val="32"/>
        </w:rPr>
      </w:pPr>
    </w:p>
    <w:p>
      <w:pPr>
        <w:jc w:val="center"/>
        <w:rPr>
          <w:rFonts w:cs="仿宋_GB2312" w:asciiTheme="minorEastAsia" w:hAnsiTheme="minorEastAsia"/>
          <w:b/>
          <w:bCs w:val="0"/>
          <w:color w:val="auto"/>
          <w:szCs w:val="32"/>
        </w:rPr>
      </w:pPr>
    </w:p>
    <w:p>
      <w:pPr>
        <w:jc w:val="center"/>
        <w:rPr>
          <w:rFonts w:cs="仿宋_GB2312" w:asciiTheme="minorEastAsia" w:hAnsiTheme="minorEastAsia"/>
          <w:b/>
          <w:bCs w:val="0"/>
          <w:color w:val="auto"/>
          <w:szCs w:val="32"/>
        </w:rPr>
      </w:pPr>
    </w:p>
    <w:p>
      <w:pPr>
        <w:pStyle w:val="2"/>
        <w:rPr>
          <w:rFonts w:cs="仿宋_GB2312" w:asciiTheme="minorEastAsia" w:hAnsiTheme="minorEastAsia"/>
          <w:b/>
          <w:bCs w:val="0"/>
          <w:color w:val="auto"/>
          <w:szCs w:val="32"/>
        </w:rPr>
      </w:pPr>
    </w:p>
    <w:p>
      <w:pPr>
        <w:pStyle w:val="2"/>
        <w:rPr>
          <w:rFonts w:cs="仿宋_GB2312" w:asciiTheme="minorEastAsia" w:hAnsiTheme="minorEastAsia"/>
          <w:b/>
          <w:bCs w:val="0"/>
          <w:color w:val="auto"/>
          <w:szCs w:val="32"/>
        </w:rPr>
      </w:pPr>
    </w:p>
    <w:p>
      <w:pPr>
        <w:pStyle w:val="2"/>
        <w:rPr>
          <w:rFonts w:cs="仿宋_GB2312" w:asciiTheme="minorEastAsia" w:hAnsiTheme="minorEastAsia"/>
          <w:b/>
          <w:bCs w:val="0"/>
          <w:color w:val="auto"/>
          <w:szCs w:val="32"/>
        </w:rPr>
      </w:pPr>
    </w:p>
    <w:p>
      <w:pPr>
        <w:jc w:val="center"/>
        <w:rPr>
          <w:rFonts w:cs="仿宋_GB2312" w:asciiTheme="minorEastAsia" w:hAnsiTheme="minorEastAsia"/>
          <w:b/>
          <w:bCs w:val="0"/>
          <w:color w:val="auto"/>
          <w:szCs w:val="32"/>
        </w:rPr>
      </w:pPr>
    </w:p>
    <w:p>
      <w:pPr>
        <w:pStyle w:val="2"/>
        <w:rPr>
          <w:rFonts w:cs="仿宋_GB2312" w:asciiTheme="minorEastAsia" w:hAnsiTheme="minorEastAsia"/>
          <w:b/>
          <w:bCs w:val="0"/>
          <w:color w:val="auto"/>
          <w:szCs w:val="32"/>
        </w:rPr>
      </w:pPr>
    </w:p>
    <w:p>
      <w:pPr>
        <w:pStyle w:val="19"/>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微软雅黑" w:hAnsi="微软雅黑" w:eastAsia="微软雅黑" w:cs="微软雅黑"/>
          <w:b/>
          <w:bCs w:val="0"/>
          <w:color w:val="auto"/>
          <w:kern w:val="0"/>
          <w:sz w:val="32"/>
          <w:szCs w:val="32"/>
          <w:lang w:val="en-US" w:eastAsia="zh-CN"/>
        </w:rPr>
      </w:pPr>
    </w:p>
    <w:p>
      <w:pPr>
        <w:pStyle w:val="19"/>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微软雅黑" w:hAnsi="微软雅黑" w:eastAsia="微软雅黑" w:cs="微软雅黑"/>
          <w:b/>
          <w:bCs w:val="0"/>
          <w:color w:val="auto"/>
          <w:kern w:val="0"/>
          <w:sz w:val="32"/>
          <w:szCs w:val="32"/>
          <w:lang w:val="en-US" w:eastAsia="zh-CN"/>
        </w:rPr>
      </w:pPr>
      <w:r>
        <w:rPr>
          <w:rFonts w:hint="eastAsia" w:ascii="微软雅黑" w:hAnsi="微软雅黑" w:eastAsia="微软雅黑" w:cs="微软雅黑"/>
          <w:b/>
          <w:bCs w:val="0"/>
          <w:color w:val="auto"/>
          <w:spacing w:val="57"/>
          <w:kern w:val="0"/>
          <w:sz w:val="32"/>
          <w:szCs w:val="32"/>
          <w:shd w:val="clear" w:color="auto" w:fill="auto"/>
          <w:lang w:val="en-US" w:eastAsia="zh-CN"/>
        </w:rPr>
        <w:t>济宁市城乡水务局</w:t>
      </w:r>
    </w:p>
    <w:p>
      <w:pPr>
        <w:pStyle w:val="19"/>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微软雅黑" w:hAnsi="微软雅黑" w:eastAsia="微软雅黑" w:cs="微软雅黑"/>
          <w:b/>
          <w:bCs w:val="0"/>
          <w:color w:val="auto"/>
          <w:kern w:val="0"/>
          <w:sz w:val="32"/>
          <w:szCs w:val="32"/>
          <w:lang w:val="en-US" w:eastAsia="zh-CN"/>
        </w:rPr>
      </w:pPr>
      <w:r>
        <w:rPr>
          <w:rFonts w:hint="eastAsia" w:ascii="微软雅黑" w:hAnsi="微软雅黑" w:eastAsia="微软雅黑" w:cs="微软雅黑"/>
          <w:b/>
          <w:bCs w:val="0"/>
          <w:color w:val="auto"/>
          <w:kern w:val="0"/>
          <w:sz w:val="32"/>
          <w:szCs w:val="32"/>
          <w:lang w:val="en-US" w:eastAsia="zh-CN"/>
        </w:rPr>
        <w:t>济宁市水利事业发展中心</w:t>
      </w:r>
    </w:p>
    <w:p>
      <w:pPr>
        <w:ind w:firstLine="199" w:firstLineChars="62"/>
        <w:jc w:val="center"/>
        <w:rPr>
          <w:rFonts w:cs="仿宋_GB2312" w:asciiTheme="minorEastAsia" w:hAnsiTheme="minorEastAsia"/>
          <w:b/>
          <w:color w:val="auto"/>
          <w:sz w:val="32"/>
          <w:szCs w:val="32"/>
        </w:rPr>
      </w:pPr>
      <w:r>
        <w:rPr>
          <w:rFonts w:hint="eastAsia" w:ascii="微软雅黑" w:hAnsi="微软雅黑" w:eastAsia="微软雅黑" w:cs="微软雅黑"/>
          <w:b/>
          <w:bCs w:val="0"/>
          <w:color w:val="auto"/>
          <w:sz w:val="32"/>
          <w:szCs w:val="32"/>
          <w:lang w:val="en-US" w:eastAsia="zh-CN"/>
        </w:rPr>
        <w:t>二〇二一年十月</w:t>
      </w:r>
    </w:p>
    <w:p>
      <w:pPr>
        <w:pStyle w:val="2"/>
        <w:ind w:firstLine="480"/>
        <w:rPr>
          <w:rFonts w:ascii="仿宋_GB2312" w:hAnsi="仿宋_GB2312" w:eastAsia="仿宋_GB2312" w:cs="仿宋_GB2312"/>
          <w:color w:val="auto"/>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pgNumType w:fmt="lowerRoman" w:start="1" w:chapStyle="1"/>
          <w:cols w:space="720" w:num="1"/>
          <w:titlePg/>
          <w:docGrid w:type="lines" w:linePitch="312" w:charSpace="0"/>
        </w:sectPr>
      </w:pPr>
    </w:p>
    <w:p>
      <w:pPr>
        <w:spacing w:line="520" w:lineRule="exact"/>
        <w:jc w:val="center"/>
        <w:rPr>
          <w:rFonts w:ascii="仿宋_GB2312" w:hAnsi="仿宋_GB2312" w:eastAsia="仿宋_GB2312" w:cs="仿宋_GB2312"/>
          <w:b/>
          <w:bCs/>
          <w:color w:val="auto"/>
          <w:spacing w:val="2"/>
          <w:sz w:val="36"/>
          <w:szCs w:val="36"/>
        </w:rPr>
      </w:pPr>
      <w:r>
        <w:rPr>
          <w:rFonts w:hint="eastAsia" w:ascii="仿宋_GB2312" w:hAnsi="仿宋_GB2312" w:eastAsia="仿宋_GB2312" w:cs="仿宋_GB2312"/>
          <w:b/>
          <w:bCs/>
          <w:color w:val="auto"/>
          <w:spacing w:val="2"/>
          <w:sz w:val="36"/>
          <w:szCs w:val="36"/>
        </w:rPr>
        <w:t>前  言</w:t>
      </w:r>
    </w:p>
    <w:p>
      <w:pPr>
        <w:pStyle w:val="9"/>
        <w:ind w:firstLine="506"/>
        <w:rPr>
          <w:rFonts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646"/>
        <w:textAlignment w:val="auto"/>
        <w:rPr>
          <w:rFonts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t>“十三五”期间，济宁市委、市政府深入贯彻习近平总书记“节水优先、空间均衡、系统治理、两手发力”治水思路，把治水兴水作为事关全市长远发展的根本大计，</w:t>
      </w:r>
      <w:r>
        <w:rPr>
          <w:rFonts w:hint="eastAsia" w:ascii="仿宋_GB2312" w:hAnsi="仿宋_GB2312" w:eastAsia="仿宋_GB2312" w:cs="仿宋_GB2312"/>
          <w:color w:val="auto"/>
          <w:spacing w:val="2"/>
          <w:sz w:val="32"/>
          <w:szCs w:val="32"/>
          <w:lang w:val="en-US" w:eastAsia="zh-CN"/>
        </w:rPr>
        <w:t>着力破解制约经济社会高质量发展的水安全问题</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lang w:val="en-US" w:eastAsia="zh-CN"/>
        </w:rPr>
        <w:t>于2019年</w:t>
      </w:r>
      <w:r>
        <w:rPr>
          <w:rFonts w:hint="eastAsia" w:ascii="仿宋_GB2312" w:hAnsi="仿宋_GB2312" w:eastAsia="仿宋_GB2312" w:cs="仿宋_GB2312"/>
          <w:color w:val="auto"/>
          <w:spacing w:val="2"/>
          <w:sz w:val="32"/>
          <w:szCs w:val="32"/>
        </w:rPr>
        <w:t>成立济宁市城乡水务局，组建济宁市水利事业发展中心，加快推进水利工程建设与深化改革“两大任务”，五年内规划确定的主要目标任务基本完成，切实提升了水利基础设施支撑和保障、水生态建设与保护、水利管理和公共服务“三大能力”，为</w:t>
      </w:r>
      <w:r>
        <w:rPr>
          <w:rFonts w:hint="eastAsia" w:ascii="仿宋_GB2312" w:hAnsi="仿宋_GB2312" w:eastAsia="仿宋_GB2312" w:cs="仿宋_GB2312"/>
          <w:color w:val="auto"/>
          <w:spacing w:val="2"/>
          <w:sz w:val="32"/>
          <w:szCs w:val="32"/>
          <w:lang w:val="en-US" w:eastAsia="zh-CN"/>
        </w:rPr>
        <w:t>全市</w:t>
      </w:r>
      <w:r>
        <w:rPr>
          <w:rFonts w:hint="eastAsia" w:ascii="仿宋_GB2312" w:hAnsi="仿宋_GB2312" w:eastAsia="仿宋_GB2312" w:cs="仿宋_GB2312"/>
          <w:color w:val="auto"/>
          <w:spacing w:val="2"/>
          <w:sz w:val="32"/>
          <w:szCs w:val="32"/>
        </w:rPr>
        <w:t>经济社会持续健康发展</w:t>
      </w:r>
      <w:r>
        <w:rPr>
          <w:rFonts w:hint="eastAsia" w:ascii="仿宋_GB2312" w:hAnsi="仿宋_GB2312" w:eastAsia="仿宋_GB2312" w:cs="仿宋_GB2312"/>
          <w:color w:val="auto"/>
          <w:spacing w:val="2"/>
          <w:sz w:val="32"/>
          <w:szCs w:val="32"/>
          <w:lang w:val="en-US" w:eastAsia="zh-CN"/>
        </w:rPr>
        <w:t>和社会和谐稳定</w:t>
      </w:r>
      <w:r>
        <w:rPr>
          <w:rFonts w:hint="eastAsia" w:ascii="仿宋_GB2312" w:hAnsi="仿宋_GB2312" w:eastAsia="仿宋_GB2312" w:cs="仿宋_GB2312"/>
          <w:color w:val="auto"/>
          <w:spacing w:val="2"/>
          <w:sz w:val="32"/>
          <w:szCs w:val="32"/>
        </w:rPr>
        <w:t>提供了重要支撑。</w:t>
      </w:r>
    </w:p>
    <w:p>
      <w:pPr>
        <w:pStyle w:val="33"/>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_GB2312" w:eastAsia="仿宋_GB2312" w:cs="仿宋_GB2312"/>
          <w:color w:val="auto"/>
          <w:spacing w:val="2"/>
          <w:sz w:val="32"/>
          <w:szCs w:val="32"/>
          <w:lang w:val="en-US" w:eastAsia="zh-CN" w:bidi="ar-SA"/>
        </w:rPr>
      </w:pPr>
      <w:r>
        <w:rPr>
          <w:rFonts w:hint="eastAsia" w:ascii="仿宋_GB2312" w:hAnsi="仿宋_GB2312" w:eastAsia="仿宋_GB2312" w:cs="仿宋_GB2312"/>
          <w:color w:val="auto"/>
          <w:spacing w:val="2"/>
          <w:sz w:val="32"/>
          <w:szCs w:val="32"/>
        </w:rPr>
        <w:t>“十四五”</w:t>
      </w:r>
      <w:r>
        <w:rPr>
          <w:rFonts w:hint="eastAsia" w:ascii="仿宋_GB2312" w:hAnsi="仿宋_GB2312" w:eastAsia="仿宋_GB2312" w:cs="仿宋_GB2312"/>
          <w:color w:val="auto"/>
          <w:spacing w:val="2"/>
          <w:sz w:val="32"/>
          <w:szCs w:val="32"/>
          <w:lang w:val="en-US" w:eastAsia="zh-CN"/>
        </w:rPr>
        <w:t>时期，</w:t>
      </w:r>
      <w:r>
        <w:rPr>
          <w:rFonts w:hint="eastAsia" w:ascii="仿宋_GB2312" w:hAnsi="仿宋_GB2312" w:eastAsia="仿宋_GB2312" w:cs="仿宋_GB2312"/>
          <w:color w:val="auto"/>
          <w:spacing w:val="2"/>
          <w:sz w:val="32"/>
          <w:szCs w:val="32"/>
        </w:rPr>
        <w:t>是</w:t>
      </w:r>
      <w:r>
        <w:rPr>
          <w:rFonts w:hint="eastAsia" w:ascii="仿宋_GB2312" w:hAnsi="仿宋_GB2312" w:eastAsia="仿宋_GB2312" w:cs="仿宋_GB2312"/>
          <w:color w:val="auto"/>
          <w:spacing w:val="2"/>
          <w:sz w:val="32"/>
          <w:szCs w:val="32"/>
          <w:lang w:val="en-US" w:eastAsia="zh-CN"/>
        </w:rPr>
        <w:t>我国开启全面建设社会主义现代化国家新征程的第一个五年</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lang w:val="en-US" w:eastAsia="zh-CN"/>
        </w:rPr>
        <w:t>也是</w:t>
      </w:r>
      <w:r>
        <w:rPr>
          <w:rFonts w:hint="eastAsia" w:ascii="仿宋_GB2312" w:hAnsi="仿宋_GB2312" w:eastAsia="仿宋_GB2312" w:cs="仿宋_GB2312"/>
          <w:color w:val="auto"/>
          <w:spacing w:val="2"/>
          <w:sz w:val="32"/>
          <w:szCs w:val="32"/>
        </w:rPr>
        <w:t>我市全面建成小康社会、全面转型振兴、</w:t>
      </w:r>
      <w:r>
        <w:rPr>
          <w:rFonts w:hint="eastAsia" w:ascii="仿宋_GB2312" w:hAnsi="仿宋_GB2312" w:eastAsia="仿宋_GB2312" w:cs="仿宋_GB2312"/>
          <w:color w:val="auto"/>
          <w:sz w:val="32"/>
          <w:szCs w:val="32"/>
        </w:rPr>
        <w:t>实现第一个百年奋斗目标与乘势而上开启全面建设社会主义现代化新征程、向第二个百年奋斗目标进军的历史交汇期。新的历史时期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pacing w:val="2"/>
          <w:sz w:val="32"/>
          <w:szCs w:val="32"/>
          <w:lang w:val="en-US" w:eastAsia="zh-CN" w:bidi="ar-SA"/>
        </w:rPr>
        <w:t>全面提升水安全保障能力提出了更高要求，</w:t>
      </w:r>
      <w:r>
        <w:rPr>
          <w:rFonts w:hint="eastAsia" w:ascii="仿宋_GB2312" w:hAnsi="仿宋_GB2312" w:eastAsia="仿宋_GB2312" w:cs="仿宋_GB2312"/>
          <w:color w:val="auto"/>
          <w:sz w:val="32"/>
          <w:szCs w:val="32"/>
          <w:lang w:val="en-US" w:eastAsia="zh-CN"/>
        </w:rPr>
        <w:t>需要立足新发展阶段，贯彻新发展理念，构建新发展格局，</w:t>
      </w:r>
      <w:r>
        <w:rPr>
          <w:rFonts w:hint="eastAsia" w:ascii="仿宋_GB2312" w:hAnsi="仿宋_GB2312" w:eastAsia="仿宋_GB2312" w:cs="仿宋_GB2312"/>
          <w:color w:val="auto"/>
          <w:sz w:val="32"/>
          <w:szCs w:val="32"/>
        </w:rPr>
        <w:t>明</w:t>
      </w:r>
      <w:r>
        <w:rPr>
          <w:rFonts w:hint="eastAsia" w:ascii="仿宋_GB2312" w:hAnsi="仿宋_GB2312" w:eastAsia="仿宋_GB2312" w:cs="仿宋_GB2312"/>
          <w:color w:val="auto"/>
          <w:spacing w:val="2"/>
          <w:sz w:val="32"/>
          <w:szCs w:val="32"/>
        </w:rPr>
        <w:t>确发展定位、全面提升标准，在解决好水资源</w:t>
      </w:r>
      <w:r>
        <w:rPr>
          <w:rFonts w:hint="eastAsia" w:ascii="仿宋_GB2312" w:hAnsi="仿宋_GB2312" w:eastAsia="仿宋_GB2312" w:cs="仿宋_GB2312"/>
          <w:color w:val="auto"/>
          <w:spacing w:val="2"/>
          <w:sz w:val="32"/>
          <w:szCs w:val="32"/>
          <w:lang w:val="en-US" w:eastAsia="zh-CN"/>
        </w:rPr>
        <w:t>紧缺</w:t>
      </w:r>
      <w:r>
        <w:rPr>
          <w:rFonts w:hint="eastAsia" w:ascii="仿宋_GB2312" w:hAnsi="仿宋_GB2312" w:eastAsia="仿宋_GB2312" w:cs="仿宋_GB2312"/>
          <w:color w:val="auto"/>
          <w:spacing w:val="2"/>
          <w:sz w:val="32"/>
          <w:szCs w:val="32"/>
        </w:rPr>
        <w:t>、水灾害</w:t>
      </w:r>
      <w:r>
        <w:rPr>
          <w:rFonts w:hint="eastAsia" w:ascii="仿宋_GB2312" w:hAnsi="仿宋_GB2312" w:eastAsia="仿宋_GB2312" w:cs="仿宋_GB2312"/>
          <w:color w:val="auto"/>
          <w:spacing w:val="2"/>
          <w:sz w:val="32"/>
          <w:szCs w:val="32"/>
          <w:lang w:val="en-US" w:eastAsia="zh-CN"/>
        </w:rPr>
        <w:t>突发</w:t>
      </w:r>
      <w:r>
        <w:rPr>
          <w:rFonts w:hint="eastAsia" w:ascii="仿宋_GB2312" w:hAnsi="仿宋_GB2312" w:eastAsia="仿宋_GB2312" w:cs="仿宋_GB2312"/>
          <w:color w:val="auto"/>
          <w:spacing w:val="2"/>
          <w:sz w:val="32"/>
          <w:szCs w:val="32"/>
        </w:rPr>
        <w:t>问题的同时，着力解决好水利发展不平衡不充分的问题，更好地满足人民群众对防洪保安全、优质水资源、健康水生态、宜居水环境、先进水文化等方面的美好需求</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lang w:val="en-US" w:eastAsia="zh-CN" w:bidi="ar-SA"/>
        </w:rPr>
        <w:t>为高质量发展和生态文明建设提供更加有力支撑，为巩固全面建成小康社会成果、推进社会主义现代化建设提供强力保障。</w:t>
      </w:r>
    </w:p>
    <w:p>
      <w:pPr>
        <w:keepNext w:val="0"/>
        <w:keepLines w:val="0"/>
        <w:pageBreakBefore w:val="0"/>
        <w:widowControl w:val="0"/>
        <w:kinsoku/>
        <w:wordWrap/>
        <w:overflowPunct/>
        <w:topLinePunct w:val="0"/>
        <w:autoSpaceDE/>
        <w:autoSpaceDN/>
        <w:bidi w:val="0"/>
        <w:adjustRightInd/>
        <w:snapToGrid/>
        <w:spacing w:line="360" w:lineRule="auto"/>
        <w:ind w:firstLine="646"/>
        <w:textAlignment w:val="auto"/>
        <w:rPr>
          <w:rFonts w:ascii="仿宋_GB2312" w:hAnsi="仿宋_GB2312" w:eastAsia="仿宋_GB2312" w:cs="仿宋_GB2312"/>
          <w:color w:val="0000FF"/>
          <w:kern w:val="0"/>
          <w:sz w:val="32"/>
          <w:szCs w:val="32"/>
        </w:rPr>
      </w:pPr>
      <w:r>
        <w:rPr>
          <w:rFonts w:hint="eastAsia" w:ascii="仿宋_GB2312" w:hAnsi="仿宋_GB2312" w:eastAsia="仿宋_GB2312" w:cs="仿宋_GB2312"/>
          <w:color w:val="auto"/>
          <w:spacing w:val="2"/>
          <w:sz w:val="32"/>
          <w:szCs w:val="32"/>
        </w:rPr>
        <w:t>根据国家、省、市关于“十四五”规划编制工作的总体要求，济宁市城乡水务局组织编制了《济宁市“十四五”城乡水务发展规划》(以下简称《规划》)。</w:t>
      </w:r>
      <w:bookmarkStart w:id="1" w:name="_Hlk19888736"/>
      <w:r>
        <w:rPr>
          <w:rFonts w:hint="eastAsia" w:ascii="仿宋_GB2312" w:hAnsi="仿宋_GB2312" w:eastAsia="仿宋_GB2312" w:cs="仿宋_GB2312"/>
          <w:color w:val="auto"/>
          <w:spacing w:val="2"/>
          <w:sz w:val="32"/>
          <w:szCs w:val="32"/>
        </w:rPr>
        <w:t>《规划》</w:t>
      </w:r>
      <w:bookmarkEnd w:id="1"/>
      <w:r>
        <w:rPr>
          <w:rFonts w:hint="eastAsia" w:ascii="仿宋_GB2312" w:hAnsi="仿宋_GB2312" w:eastAsia="仿宋_GB2312" w:cs="仿宋_GB2312"/>
          <w:color w:val="auto"/>
          <w:kern w:val="0"/>
          <w:sz w:val="32"/>
          <w:szCs w:val="32"/>
        </w:rPr>
        <w:t>以习近平新时代中国特色社会主义思想为指导，全面贯彻落实党的十九大和十九届二中、三中、四中、五中全会精神，</w:t>
      </w:r>
      <w:r>
        <w:rPr>
          <w:rFonts w:hint="eastAsia" w:ascii="仿宋_GB2312" w:hAnsi="仿宋_GB2312" w:eastAsia="仿宋_GB2312" w:cs="仿宋_GB2312"/>
          <w:color w:val="auto"/>
          <w:kern w:val="0"/>
          <w:sz w:val="32"/>
          <w:szCs w:val="32"/>
          <w:lang w:val="en-US" w:eastAsia="zh-CN"/>
        </w:rPr>
        <w:t>积极</w:t>
      </w:r>
      <w:r>
        <w:rPr>
          <w:rFonts w:hint="eastAsia" w:ascii="仿宋_GB2312" w:hAnsi="仿宋_GB2312" w:eastAsia="仿宋_GB2312" w:cs="仿宋_GB2312"/>
          <w:color w:val="auto"/>
          <w:kern w:val="0"/>
          <w:sz w:val="32"/>
          <w:szCs w:val="32"/>
        </w:rPr>
        <w:t>践行“节水优先、空间均衡、系统治理、两手发力”的治水</w:t>
      </w:r>
      <w:r>
        <w:rPr>
          <w:rFonts w:hint="eastAsia" w:ascii="仿宋_GB2312" w:hAnsi="仿宋_GB2312" w:eastAsia="仿宋_GB2312" w:cs="仿宋_GB2312"/>
          <w:color w:val="auto"/>
          <w:kern w:val="0"/>
          <w:sz w:val="32"/>
          <w:szCs w:val="32"/>
          <w:lang w:val="en-US" w:eastAsia="zh-CN"/>
        </w:rPr>
        <w:t>思路</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深入落实黄河流域生态保护和高质量发展重大国家战略，以推动水利高质量发展为主题，以构建完善现代水网为主线，以深化改革创新为根本动力，</w:t>
      </w:r>
      <w:r>
        <w:rPr>
          <w:rFonts w:hint="eastAsia" w:ascii="仿宋_GB2312" w:hAnsi="仿宋_GB2312" w:eastAsia="仿宋_GB2312" w:cs="仿宋_GB2312"/>
          <w:color w:val="auto"/>
          <w:kern w:val="0"/>
          <w:sz w:val="32"/>
          <w:szCs w:val="32"/>
        </w:rPr>
        <w:t>从全局和战略的高度，在总结</w:t>
      </w:r>
      <w:r>
        <w:rPr>
          <w:rFonts w:hint="eastAsia" w:ascii="仿宋_GB2312" w:hAnsi="仿宋_GB2312" w:eastAsia="仿宋_GB2312" w:cs="仿宋_GB2312"/>
          <w:color w:val="auto"/>
          <w:spacing w:val="2"/>
          <w:sz w:val="32"/>
          <w:szCs w:val="32"/>
        </w:rPr>
        <w:t>“十三五”水利改革发展主要成就和问题的基础上，研究提出了“十四五”</w:t>
      </w:r>
      <w:r>
        <w:rPr>
          <w:rFonts w:hint="eastAsia" w:ascii="仿宋_GB2312" w:hAnsi="仿宋_GB2312" w:eastAsia="仿宋_GB2312" w:cs="仿宋_GB2312"/>
          <w:color w:val="auto"/>
          <w:kern w:val="0"/>
          <w:sz w:val="32"/>
          <w:szCs w:val="32"/>
          <w:lang w:val="en-US" w:eastAsia="zh-CN"/>
        </w:rPr>
        <w:t>时期水务改革发展的总体思路、发展目标、主要任务和政策措施，着重固底板、补短板、锻长板，惠民生、保安全、护生态，奋力推</w:t>
      </w:r>
      <w:r>
        <w:rPr>
          <w:rFonts w:hint="eastAsia" w:ascii="仿宋_GB2312" w:hAnsi="仿宋_GB2312" w:eastAsia="仿宋_GB2312" w:cs="仿宋_GB2312"/>
          <w:color w:val="auto"/>
          <w:kern w:val="0"/>
          <w:sz w:val="32"/>
          <w:szCs w:val="32"/>
        </w:rPr>
        <w:t>进济宁水务高质量发展</w:t>
      </w:r>
      <w:r>
        <w:rPr>
          <w:rFonts w:hint="eastAsia" w:ascii="仿宋_GB2312" w:hAnsi="仿宋_GB2312" w:eastAsia="仿宋_GB2312" w:cs="仿宋_GB2312"/>
          <w:color w:val="000000" w:themeColor="text1"/>
          <w:kern w:val="0"/>
          <w:sz w:val="32"/>
          <w:szCs w:val="32"/>
          <w14:textFill>
            <w14:solidFill>
              <w14:schemeClr w14:val="tx1"/>
            </w14:solidFill>
          </w14:textFill>
        </w:rPr>
        <w:t>，为济宁市</w:t>
      </w:r>
      <w:r>
        <w:rPr>
          <w:rFonts w:hint="eastAsia" w:ascii="仿宋_GB2312" w:hAnsi="仿宋_GB2312" w:eastAsia="仿宋_GB2312" w:cs="仿宋_GB2312"/>
          <w:color w:val="000000" w:themeColor="text1"/>
          <w:spacing w:val="2"/>
          <w:sz w:val="32"/>
          <w:szCs w:val="32"/>
          <w14:textFill>
            <w14:solidFill>
              <w14:schemeClr w14:val="tx1"/>
            </w14:solidFill>
          </w14:textFill>
        </w:rPr>
        <w:t>推进“生态济宁、信息济宁、美丽济宁、文化济宁、民生济宁”五个</w:t>
      </w:r>
      <w:r>
        <w:rPr>
          <w:rFonts w:hint="eastAsia" w:ascii="仿宋_GB2312" w:hAnsi="仿宋_GB2312" w:eastAsia="仿宋_GB2312" w:cs="仿宋_GB2312"/>
          <w:color w:val="000000" w:themeColor="text1"/>
          <w:spacing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2"/>
          <w:sz w:val="32"/>
          <w:szCs w:val="32"/>
          <w14:textFill>
            <w14:solidFill>
              <w14:schemeClr w14:val="tx1"/>
            </w14:solidFill>
          </w14:textFill>
        </w:rPr>
        <w:t>济宁建设</w:t>
      </w:r>
      <w:r>
        <w:rPr>
          <w:rFonts w:hint="eastAsia" w:ascii="仿宋_GB2312" w:hAnsi="仿宋_GB2312" w:eastAsia="仿宋_GB2312" w:cs="仿宋_GB2312"/>
          <w:color w:val="000000" w:themeColor="text1"/>
          <w:spacing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2"/>
          <w:sz w:val="32"/>
          <w:szCs w:val="32"/>
          <w14:textFill>
            <w14:solidFill>
              <w14:schemeClr w14:val="tx1"/>
            </w14:solidFill>
          </w14:textFill>
        </w:rPr>
        <w:t>，</w:t>
      </w:r>
      <w:r>
        <w:rPr>
          <w:rFonts w:hint="eastAsia" w:ascii="仿宋_GB2312" w:hAnsi="仿宋_GB2312" w:eastAsia="仿宋_GB2312" w:cs="仿宋_GB2312"/>
          <w:color w:val="000000" w:themeColor="text1"/>
          <w:spacing w:val="2"/>
          <w:sz w:val="32"/>
          <w:szCs w:val="32"/>
          <w:lang w:val="en-US" w:eastAsia="zh-CN"/>
          <w14:textFill>
            <w14:solidFill>
              <w14:schemeClr w14:val="tx1"/>
            </w14:solidFill>
          </w14:textFill>
        </w:rPr>
        <w:t>实现</w:t>
      </w:r>
      <w:r>
        <w:rPr>
          <w:rFonts w:hint="eastAsia" w:ascii="仿宋_GB2312" w:hAnsi="仿宋_GB2312" w:eastAsia="仿宋_GB2312" w:cs="仿宋_GB2312"/>
          <w:color w:val="000000" w:themeColor="text1"/>
          <w:spacing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2"/>
          <w:sz w:val="32"/>
          <w:szCs w:val="32"/>
          <w14:textFill>
            <w14:solidFill>
              <w14:schemeClr w14:val="tx1"/>
            </w14:solidFill>
          </w14:textFill>
        </w:rPr>
        <w:t>科教强市</w:t>
      </w:r>
      <w:r>
        <w:rPr>
          <w:rFonts w:hint="eastAsia" w:ascii="仿宋_GB2312" w:hAnsi="仿宋_GB2312" w:eastAsia="仿宋_GB2312" w:cs="仿宋_GB2312"/>
          <w:color w:val="000000" w:themeColor="text1"/>
          <w:spacing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2"/>
          <w:sz w:val="32"/>
          <w:szCs w:val="32"/>
          <w14:textFill>
            <w14:solidFill>
              <w14:schemeClr w14:val="tx1"/>
            </w14:solidFill>
          </w14:textFill>
        </w:rPr>
        <w:t>先进制造业强市</w:t>
      </w:r>
      <w:r>
        <w:rPr>
          <w:rFonts w:hint="eastAsia" w:ascii="仿宋_GB2312" w:hAnsi="仿宋_GB2312" w:eastAsia="仿宋_GB2312" w:cs="仿宋_GB2312"/>
          <w:color w:val="000000" w:themeColor="text1"/>
          <w:spacing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2"/>
          <w:sz w:val="32"/>
          <w:szCs w:val="32"/>
          <w14:textFill>
            <w14:solidFill>
              <w14:schemeClr w14:val="tx1"/>
            </w14:solidFill>
          </w14:textFill>
        </w:rPr>
        <w:t>数字强市</w:t>
      </w:r>
      <w:r>
        <w:rPr>
          <w:rFonts w:hint="eastAsia" w:ascii="仿宋_GB2312" w:hAnsi="仿宋_GB2312" w:eastAsia="仿宋_GB2312" w:cs="仿宋_GB2312"/>
          <w:color w:val="000000" w:themeColor="text1"/>
          <w:spacing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2"/>
          <w:sz w:val="32"/>
          <w:szCs w:val="32"/>
          <w14:textFill>
            <w14:solidFill>
              <w14:schemeClr w14:val="tx1"/>
            </w14:solidFill>
          </w14:textFill>
        </w:rPr>
        <w:t>文化强市</w:t>
      </w:r>
      <w:r>
        <w:rPr>
          <w:rFonts w:hint="eastAsia" w:ascii="仿宋_GB2312" w:hAnsi="仿宋_GB2312" w:eastAsia="仿宋_GB2312" w:cs="仿宋_GB2312"/>
          <w:color w:val="000000" w:themeColor="text1"/>
          <w:spacing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2"/>
          <w:sz w:val="32"/>
          <w:szCs w:val="32"/>
          <w14:textFill>
            <w14:solidFill>
              <w14:schemeClr w14:val="tx1"/>
            </w14:solidFill>
          </w14:textFill>
        </w:rPr>
        <w:t>现代农业强市</w:t>
      </w:r>
      <w:r>
        <w:rPr>
          <w:rFonts w:hint="eastAsia" w:ascii="仿宋_GB2312" w:hAnsi="仿宋_GB2312" w:eastAsia="仿宋_GB2312" w:cs="仿宋_GB2312"/>
          <w:color w:val="000000" w:themeColor="text1"/>
          <w:spacing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2"/>
          <w:sz w:val="32"/>
          <w:szCs w:val="32"/>
          <w14:textFill>
            <w14:solidFill>
              <w14:schemeClr w14:val="tx1"/>
            </w14:solidFill>
          </w14:textFill>
        </w:rPr>
        <w:t>交通物流强市</w:t>
      </w:r>
      <w:r>
        <w:rPr>
          <w:rFonts w:hint="eastAsia" w:ascii="仿宋_GB2312" w:hAnsi="仿宋_GB2312" w:eastAsia="仿宋_GB2312" w:cs="仿宋_GB2312"/>
          <w:color w:val="000000" w:themeColor="text1"/>
          <w:spacing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2"/>
          <w:sz w:val="32"/>
          <w:szCs w:val="32"/>
          <w14:textFill>
            <w14:solidFill>
              <w14:schemeClr w14:val="tx1"/>
            </w14:solidFill>
          </w14:textFill>
        </w:rPr>
        <w:t>生态强市</w:t>
      </w:r>
      <w:r>
        <w:rPr>
          <w:rFonts w:hint="eastAsia" w:ascii="仿宋_GB2312" w:hAnsi="仿宋_GB2312" w:eastAsia="仿宋_GB2312" w:cs="仿宋_GB2312"/>
          <w:color w:val="000000" w:themeColor="text1"/>
          <w:spacing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2"/>
          <w:sz w:val="32"/>
          <w:szCs w:val="32"/>
          <w14:textFill>
            <w14:solidFill>
              <w14:schemeClr w14:val="tx1"/>
            </w14:solidFill>
          </w14:textFill>
        </w:rPr>
        <w:t>健康强市</w:t>
      </w:r>
      <w:r>
        <w:rPr>
          <w:rFonts w:hint="eastAsia" w:ascii="仿宋_GB2312" w:hAnsi="仿宋_GB2312" w:eastAsia="仿宋_GB2312" w:cs="仿宋_GB2312"/>
          <w:color w:val="000000" w:themeColor="text1"/>
          <w:spacing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2"/>
          <w:sz w:val="32"/>
          <w:szCs w:val="32"/>
          <w:lang w:val="en-US" w:eastAsia="zh-CN"/>
          <w14:textFill>
            <w14:solidFill>
              <w14:schemeClr w14:val="tx1"/>
            </w14:solidFill>
          </w14:textFill>
        </w:rPr>
        <w:t>八个“强市突破”</w:t>
      </w:r>
      <w:r>
        <w:rPr>
          <w:rFonts w:hint="eastAsia" w:ascii="仿宋_GB2312" w:hAnsi="仿宋_GB2312" w:eastAsia="仿宋_GB2312" w:cs="仿宋_GB2312"/>
          <w:color w:val="000000" w:themeColor="text1"/>
          <w:kern w:val="0"/>
          <w:sz w:val="32"/>
          <w:szCs w:val="32"/>
          <w14:textFill>
            <w14:solidFill>
              <w14:schemeClr w14:val="tx1"/>
            </w14:solidFill>
          </w14:textFill>
        </w:rPr>
        <w:t>，全面建设</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新时代现代化强市</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提供坚实的水务支撑和保障。 </w:t>
      </w:r>
    </w:p>
    <w:p>
      <w:pPr>
        <w:keepNext w:val="0"/>
        <w:keepLines w:val="0"/>
        <w:pageBreakBefore w:val="0"/>
        <w:widowControl w:val="0"/>
        <w:kinsoku/>
        <w:wordWrap/>
        <w:overflowPunct/>
        <w:topLinePunct w:val="0"/>
        <w:autoSpaceDE/>
        <w:autoSpaceDN/>
        <w:bidi w:val="0"/>
        <w:adjustRightInd/>
        <w:snapToGrid/>
        <w:spacing w:line="360" w:lineRule="auto"/>
        <w:ind w:firstLine="646"/>
        <w:textAlignment w:val="auto"/>
        <w:rPr>
          <w:rFonts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t>本《规划》是指导今后五年水务改革发展的依据。</w:t>
      </w:r>
    </w:p>
    <w:p>
      <w:pPr>
        <w:pStyle w:val="2"/>
        <w:ind w:firstLine="640"/>
        <w:rPr>
          <w:rFonts w:ascii="仿宋_GB2312" w:hAnsi="仿宋_GB2312" w:eastAsia="仿宋_GB2312" w:cs="仿宋_GB2312"/>
          <w:color w:val="auto"/>
          <w:sz w:val="32"/>
          <w:szCs w:val="32"/>
        </w:rPr>
        <w:sectPr>
          <w:footerReference r:id="rId10" w:type="first"/>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lowerRoman" w:start="1" w:chapStyle="1"/>
          <w:cols w:space="720" w:num="1"/>
          <w:docGrid w:type="lines" w:linePitch="312" w:charSpace="0"/>
        </w:sect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firstLine="223" w:firstLineChars="62"/>
        <w:jc w:val="center"/>
        <w:textAlignment w:val="auto"/>
        <w:rPr>
          <w:rFonts w:ascii="黑体" w:hAnsi="黑体" w:eastAsia="黑体" w:cs="仿宋_GB2312"/>
          <w:bCs/>
          <w:color w:val="auto"/>
          <w:sz w:val="32"/>
          <w:szCs w:val="32"/>
        </w:rPr>
      </w:pPr>
      <w:r>
        <w:rPr>
          <w:rFonts w:hint="eastAsia" w:ascii="黑体" w:hAnsi="黑体" w:eastAsia="黑体" w:cs="仿宋_GB2312"/>
          <w:bCs/>
          <w:color w:val="auto"/>
          <w:sz w:val="36"/>
          <w:szCs w:val="36"/>
        </w:rPr>
        <w:t>目  录</w:t>
      </w:r>
    </w:p>
    <w:p>
      <w:pPr>
        <w:pStyle w:val="16"/>
        <w:tabs>
          <w:tab w:val="right" w:leader="dot" w:pos="9660"/>
        </w:tabs>
      </w:pPr>
      <w:r>
        <w:rPr>
          <w:rFonts w:hint="eastAsia" w:ascii="仿宋_GB2312" w:hAnsi="仿宋_GB2312" w:cs="仿宋_GB2312"/>
          <w:b/>
          <w:bCs/>
          <w:color w:val="auto"/>
          <w:sz w:val="28"/>
          <w:szCs w:val="28"/>
          <w:lang w:eastAsia="en-US"/>
        </w:rPr>
        <w:fldChar w:fldCharType="begin"/>
      </w:r>
      <w:r>
        <w:rPr>
          <w:rFonts w:hint="eastAsia" w:ascii="仿宋_GB2312" w:hAnsi="仿宋_GB2312" w:cs="仿宋_GB2312"/>
          <w:b/>
          <w:bCs/>
          <w:color w:val="auto"/>
          <w:sz w:val="28"/>
          <w:szCs w:val="28"/>
        </w:rPr>
        <w:instrText xml:space="preserve"> TOC \o "1-3" \h \z \u </w:instrText>
      </w:r>
      <w:r>
        <w:rPr>
          <w:rFonts w:hint="eastAsia" w:ascii="仿宋_GB2312" w:hAnsi="仿宋_GB2312" w:cs="仿宋_GB2312"/>
          <w:b/>
          <w:bCs/>
          <w:color w:val="auto"/>
          <w:sz w:val="28"/>
          <w:szCs w:val="28"/>
          <w:lang w:eastAsia="en-US"/>
        </w:rPr>
        <w:fldChar w:fldCharType="separate"/>
      </w:r>
      <w:r>
        <w:rPr>
          <w:rFonts w:hint="eastAsia" w:ascii="仿宋_GB2312" w:hAnsi="仿宋_GB2312" w:cs="仿宋_GB2312"/>
          <w:bCs/>
          <w:color w:val="auto"/>
          <w:szCs w:val="28"/>
          <w:lang w:eastAsia="en-US"/>
        </w:rPr>
        <w:fldChar w:fldCharType="begin"/>
      </w:r>
      <w:r>
        <w:rPr>
          <w:rFonts w:hint="eastAsia" w:ascii="仿宋_GB2312" w:hAnsi="仿宋_GB2312" w:cs="仿宋_GB2312"/>
          <w:bCs/>
          <w:szCs w:val="28"/>
          <w:lang w:eastAsia="en-US"/>
        </w:rPr>
        <w:instrText xml:space="preserve"> HYPERLINK \l _Toc28377 </w:instrText>
      </w:r>
      <w:r>
        <w:rPr>
          <w:rFonts w:hint="eastAsia" w:ascii="仿宋_GB2312" w:hAnsi="仿宋_GB2312" w:cs="仿宋_GB2312"/>
          <w:bCs/>
          <w:szCs w:val="28"/>
          <w:lang w:eastAsia="en-US"/>
        </w:rPr>
        <w:fldChar w:fldCharType="separate"/>
      </w:r>
      <w:r>
        <w:rPr>
          <w:rFonts w:hint="eastAsia" w:ascii="黑体" w:hAnsi="黑体" w:eastAsia="黑体" w:cs="Times New Roman"/>
          <w:bCs w:val="0"/>
          <w:kern w:val="2"/>
          <w:szCs w:val="32"/>
        </w:rPr>
        <w:t>一、现状与形势</w:t>
      </w:r>
      <w:r>
        <w:tab/>
      </w:r>
      <w:r>
        <w:fldChar w:fldCharType="begin"/>
      </w:r>
      <w:r>
        <w:instrText xml:space="preserve"> PAGEREF _Toc28377 </w:instrText>
      </w:r>
      <w:r>
        <w:fldChar w:fldCharType="separate"/>
      </w:r>
      <w:r>
        <w:t>1</w:t>
      </w:r>
      <w:r>
        <w:fldChar w:fldCharType="end"/>
      </w:r>
      <w:r>
        <w:rPr>
          <w:rFonts w:hint="eastAsia" w:ascii="仿宋_GB2312" w:hAnsi="仿宋_GB2312" w:cs="仿宋_GB2312"/>
          <w:bCs/>
          <w:color w:val="auto"/>
          <w:szCs w:val="28"/>
          <w:lang w:eastAsia="en-US"/>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_Toc16212 </w:instrText>
      </w:r>
      <w:r>
        <w:rPr>
          <w:rFonts w:hint="eastAsia" w:ascii="仿宋_GB2312" w:hAnsi="仿宋_GB2312" w:eastAsia="仿宋_GB2312" w:cs="仿宋_GB2312"/>
          <w:bCs/>
          <w:szCs w:val="28"/>
        </w:rPr>
        <w:fldChar w:fldCharType="separate"/>
      </w:r>
      <w:r>
        <w:rPr>
          <w:rFonts w:hint="eastAsia" w:ascii="楷体" w:hAnsi="楷体" w:eastAsia="楷体" w:cs="仿宋_GB2312"/>
        </w:rPr>
        <w:t>（一）基本情况</w:t>
      </w:r>
      <w:r>
        <w:tab/>
      </w:r>
      <w:r>
        <w:fldChar w:fldCharType="begin"/>
      </w:r>
      <w:r>
        <w:instrText xml:space="preserve"> PAGEREF _Toc16212 </w:instrText>
      </w:r>
      <w:r>
        <w:fldChar w:fldCharType="separate"/>
      </w:r>
      <w:r>
        <w:t>1</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_Toc12268 </w:instrText>
      </w:r>
      <w:r>
        <w:rPr>
          <w:rFonts w:hint="eastAsia" w:ascii="仿宋_GB2312" w:hAnsi="仿宋_GB2312" w:eastAsia="仿宋_GB2312" w:cs="仿宋_GB2312"/>
          <w:bCs/>
          <w:szCs w:val="28"/>
        </w:rPr>
        <w:fldChar w:fldCharType="separate"/>
      </w:r>
      <w:r>
        <w:rPr>
          <w:rFonts w:hint="eastAsia" w:ascii="楷体" w:hAnsi="楷体" w:eastAsia="楷体" w:cs="仿宋_GB2312"/>
        </w:rPr>
        <w:t>（二）“十三五”发展成就</w:t>
      </w:r>
      <w:r>
        <w:tab/>
      </w:r>
      <w:r>
        <w:fldChar w:fldCharType="begin"/>
      </w:r>
      <w:r>
        <w:instrText xml:space="preserve"> PAGEREF _Toc12268 </w:instrText>
      </w:r>
      <w:r>
        <w:fldChar w:fldCharType="separate"/>
      </w:r>
      <w:r>
        <w:t>2</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_Toc22582 </w:instrText>
      </w:r>
      <w:r>
        <w:rPr>
          <w:rFonts w:hint="eastAsia" w:ascii="仿宋_GB2312" w:hAnsi="仿宋_GB2312" w:eastAsia="仿宋_GB2312" w:cs="仿宋_GB2312"/>
          <w:bCs/>
          <w:szCs w:val="28"/>
        </w:rPr>
        <w:fldChar w:fldCharType="separate"/>
      </w:r>
      <w:r>
        <w:rPr>
          <w:rFonts w:hint="eastAsia" w:ascii="楷体" w:hAnsi="楷体" w:eastAsia="楷体" w:cs="仿宋_GB2312"/>
        </w:rPr>
        <w:t>（三）面临的形势</w:t>
      </w:r>
      <w:r>
        <w:tab/>
      </w:r>
      <w:r>
        <w:fldChar w:fldCharType="begin"/>
      </w:r>
      <w:r>
        <w:instrText xml:space="preserve"> PAGEREF _Toc22582 </w:instrText>
      </w:r>
      <w:r>
        <w:fldChar w:fldCharType="separate"/>
      </w:r>
      <w:r>
        <w:t>11</w:t>
      </w:r>
      <w:r>
        <w:fldChar w:fldCharType="end"/>
      </w:r>
      <w:r>
        <w:rPr>
          <w:rFonts w:hint="eastAsia" w:ascii="仿宋_GB2312" w:hAnsi="仿宋_GB2312" w:eastAsia="仿宋_GB2312" w:cs="仿宋_GB2312"/>
          <w:bCs/>
          <w:color w:val="auto"/>
          <w:szCs w:val="28"/>
        </w:rPr>
        <w:fldChar w:fldCharType="end"/>
      </w:r>
    </w:p>
    <w:p>
      <w:pPr>
        <w:pStyle w:val="16"/>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_Toc20629 </w:instrText>
      </w:r>
      <w:r>
        <w:rPr>
          <w:rFonts w:hint="eastAsia" w:ascii="仿宋_GB2312" w:hAnsi="仿宋_GB2312" w:eastAsia="仿宋_GB2312" w:cs="仿宋_GB2312"/>
          <w:bCs/>
          <w:szCs w:val="28"/>
        </w:rPr>
        <w:fldChar w:fldCharType="separate"/>
      </w:r>
      <w:r>
        <w:rPr>
          <w:rFonts w:hint="eastAsia" w:ascii="黑体" w:hAnsi="黑体" w:eastAsia="黑体" w:cs="Times New Roman"/>
          <w:bCs w:val="0"/>
          <w:kern w:val="2"/>
          <w:szCs w:val="32"/>
        </w:rPr>
        <w:t>二、总体发展思路</w:t>
      </w:r>
      <w:r>
        <w:tab/>
      </w:r>
      <w:r>
        <w:fldChar w:fldCharType="begin"/>
      </w:r>
      <w:r>
        <w:instrText xml:space="preserve"> PAGEREF _Toc20629 </w:instrText>
      </w:r>
      <w:r>
        <w:fldChar w:fldCharType="separate"/>
      </w:r>
      <w:r>
        <w:t>17</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_Toc13682 </w:instrText>
      </w:r>
      <w:r>
        <w:rPr>
          <w:rFonts w:hint="eastAsia" w:ascii="仿宋_GB2312" w:hAnsi="仿宋_GB2312" w:eastAsia="仿宋_GB2312" w:cs="仿宋_GB2312"/>
          <w:bCs/>
          <w:szCs w:val="28"/>
        </w:rPr>
        <w:fldChar w:fldCharType="separate"/>
      </w:r>
      <w:r>
        <w:rPr>
          <w:rFonts w:hint="eastAsia" w:ascii="楷体" w:hAnsi="楷体" w:eastAsia="楷体" w:cs="仿宋_GB2312"/>
        </w:rPr>
        <w:t>（一）指导思想</w:t>
      </w:r>
      <w:r>
        <w:tab/>
      </w:r>
      <w:r>
        <w:fldChar w:fldCharType="begin"/>
      </w:r>
      <w:r>
        <w:instrText xml:space="preserve"> PAGEREF _Toc13682 </w:instrText>
      </w:r>
      <w:r>
        <w:fldChar w:fldCharType="separate"/>
      </w:r>
      <w:r>
        <w:t>17</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_Toc30684 </w:instrText>
      </w:r>
      <w:r>
        <w:rPr>
          <w:rFonts w:hint="eastAsia" w:ascii="仿宋_GB2312" w:hAnsi="仿宋_GB2312" w:eastAsia="仿宋_GB2312" w:cs="仿宋_GB2312"/>
          <w:bCs/>
          <w:szCs w:val="28"/>
        </w:rPr>
        <w:fldChar w:fldCharType="separate"/>
      </w:r>
      <w:r>
        <w:rPr>
          <w:rFonts w:hint="eastAsia" w:ascii="楷体" w:hAnsi="楷体" w:eastAsia="楷体" w:cs="仿宋_GB2312"/>
        </w:rPr>
        <w:t>（二）基本原则</w:t>
      </w:r>
      <w:r>
        <w:tab/>
      </w:r>
      <w:r>
        <w:fldChar w:fldCharType="begin"/>
      </w:r>
      <w:r>
        <w:instrText xml:space="preserve"> PAGEREF _Toc30684 </w:instrText>
      </w:r>
      <w:r>
        <w:fldChar w:fldCharType="separate"/>
      </w:r>
      <w:r>
        <w:t>17</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_Toc3272 </w:instrText>
      </w:r>
      <w:r>
        <w:rPr>
          <w:rFonts w:hint="eastAsia" w:ascii="仿宋_GB2312" w:hAnsi="仿宋_GB2312" w:eastAsia="仿宋_GB2312" w:cs="仿宋_GB2312"/>
          <w:bCs/>
          <w:szCs w:val="28"/>
        </w:rPr>
        <w:fldChar w:fldCharType="separate"/>
      </w:r>
      <w:r>
        <w:rPr>
          <w:rFonts w:hint="eastAsia" w:ascii="楷体" w:hAnsi="楷体" w:eastAsia="楷体" w:cs="仿宋_GB2312"/>
        </w:rPr>
        <w:t>（</w:t>
      </w:r>
      <w:r>
        <w:rPr>
          <w:rFonts w:hint="eastAsia" w:ascii="楷体" w:hAnsi="楷体" w:eastAsia="楷体" w:cs="仿宋_GB2312"/>
          <w:lang w:val="en-US" w:eastAsia="zh-CN"/>
        </w:rPr>
        <w:t>三</w:t>
      </w:r>
      <w:r>
        <w:rPr>
          <w:rFonts w:hint="eastAsia" w:ascii="楷体" w:hAnsi="楷体" w:eastAsia="楷体" w:cs="仿宋_GB2312"/>
        </w:rPr>
        <w:t>）发展目标</w:t>
      </w:r>
      <w:r>
        <w:tab/>
      </w:r>
      <w:r>
        <w:fldChar w:fldCharType="begin"/>
      </w:r>
      <w:r>
        <w:instrText xml:space="preserve"> PAGEREF _Toc3272 </w:instrText>
      </w:r>
      <w:r>
        <w:fldChar w:fldCharType="separate"/>
      </w:r>
      <w:r>
        <w:t>19</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_Toc27638 </w:instrText>
      </w:r>
      <w:r>
        <w:rPr>
          <w:rFonts w:hint="eastAsia" w:ascii="仿宋_GB2312" w:hAnsi="仿宋_GB2312" w:eastAsia="仿宋_GB2312" w:cs="仿宋_GB2312"/>
          <w:bCs/>
          <w:szCs w:val="28"/>
        </w:rPr>
        <w:fldChar w:fldCharType="separate"/>
      </w:r>
      <w:r>
        <w:rPr>
          <w:rFonts w:hint="eastAsia" w:ascii="楷体" w:hAnsi="楷体" w:eastAsia="楷体" w:cs="仿宋_GB2312"/>
        </w:rPr>
        <w:t>（</w:t>
      </w:r>
      <w:r>
        <w:rPr>
          <w:rFonts w:hint="eastAsia" w:ascii="楷体" w:hAnsi="楷体" w:eastAsia="楷体" w:cs="仿宋_GB2312"/>
          <w:lang w:val="en-US" w:eastAsia="zh-CN"/>
        </w:rPr>
        <w:t>四</w:t>
      </w:r>
      <w:r>
        <w:rPr>
          <w:rFonts w:hint="eastAsia" w:ascii="楷体" w:hAnsi="楷体" w:eastAsia="楷体" w:cs="仿宋_GB2312"/>
        </w:rPr>
        <w:t>）总体布局</w:t>
      </w:r>
      <w:r>
        <w:tab/>
      </w:r>
      <w:r>
        <w:fldChar w:fldCharType="begin"/>
      </w:r>
      <w:r>
        <w:instrText xml:space="preserve"> PAGEREF _Toc27638 </w:instrText>
      </w:r>
      <w:r>
        <w:fldChar w:fldCharType="separate"/>
      </w:r>
      <w:r>
        <w:t>21</w:t>
      </w:r>
      <w:r>
        <w:fldChar w:fldCharType="end"/>
      </w:r>
      <w:r>
        <w:rPr>
          <w:rFonts w:hint="eastAsia" w:ascii="仿宋_GB2312" w:hAnsi="仿宋_GB2312" w:eastAsia="仿宋_GB2312" w:cs="仿宋_GB2312"/>
          <w:bCs/>
          <w:color w:val="auto"/>
          <w:szCs w:val="28"/>
        </w:rPr>
        <w:fldChar w:fldCharType="end"/>
      </w:r>
    </w:p>
    <w:p>
      <w:pPr>
        <w:pStyle w:val="16"/>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_Toc7493 </w:instrText>
      </w:r>
      <w:r>
        <w:rPr>
          <w:rFonts w:hint="eastAsia" w:ascii="仿宋_GB2312" w:hAnsi="仿宋_GB2312" w:eastAsia="仿宋_GB2312" w:cs="仿宋_GB2312"/>
          <w:bCs/>
          <w:szCs w:val="28"/>
        </w:rPr>
        <w:fldChar w:fldCharType="separate"/>
      </w:r>
      <w:r>
        <w:rPr>
          <w:rFonts w:hint="eastAsia" w:ascii="黑体" w:hAnsi="黑体" w:eastAsia="黑体" w:cs="Times New Roman"/>
          <w:bCs w:val="0"/>
          <w:kern w:val="2"/>
          <w:szCs w:val="32"/>
        </w:rPr>
        <w:t>三、完善水利基础设施网络</w:t>
      </w:r>
      <w:r>
        <w:tab/>
      </w:r>
      <w:r>
        <w:fldChar w:fldCharType="begin"/>
      </w:r>
      <w:r>
        <w:instrText xml:space="preserve"> PAGEREF _Toc7493 </w:instrText>
      </w:r>
      <w:r>
        <w:fldChar w:fldCharType="separate"/>
      </w:r>
      <w:r>
        <w:t>23</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_Toc25279 </w:instrText>
      </w:r>
      <w:r>
        <w:rPr>
          <w:rFonts w:hint="eastAsia" w:ascii="仿宋_GB2312" w:hAnsi="仿宋_GB2312" w:eastAsia="仿宋_GB2312" w:cs="仿宋_GB2312"/>
          <w:bCs/>
          <w:szCs w:val="28"/>
        </w:rPr>
        <w:fldChar w:fldCharType="separate"/>
      </w:r>
      <w:r>
        <w:rPr>
          <w:rFonts w:hint="eastAsia" w:ascii="楷体" w:hAnsi="楷体" w:eastAsia="楷体" w:cs="仿宋_GB2312"/>
        </w:rPr>
        <w:t>（一）构建安全的防洪排涝工程体系</w:t>
      </w:r>
      <w:r>
        <w:tab/>
      </w:r>
      <w:r>
        <w:fldChar w:fldCharType="begin"/>
      </w:r>
      <w:r>
        <w:instrText xml:space="preserve"> PAGEREF _Toc25279 </w:instrText>
      </w:r>
      <w:r>
        <w:fldChar w:fldCharType="separate"/>
      </w:r>
      <w:r>
        <w:t>23</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_Toc29776 </w:instrText>
      </w:r>
      <w:r>
        <w:rPr>
          <w:rFonts w:hint="eastAsia" w:ascii="仿宋_GB2312" w:hAnsi="仿宋_GB2312" w:eastAsia="仿宋_GB2312" w:cs="仿宋_GB2312"/>
          <w:bCs/>
          <w:szCs w:val="28"/>
        </w:rPr>
        <w:fldChar w:fldCharType="separate"/>
      </w:r>
      <w:r>
        <w:rPr>
          <w:rFonts w:hint="eastAsia" w:ascii="楷体" w:hAnsi="楷体" w:eastAsia="楷体" w:cs="仿宋_GB2312"/>
        </w:rPr>
        <w:t>（二）建立可靠的水资源保障体系</w:t>
      </w:r>
      <w:r>
        <w:tab/>
      </w:r>
      <w:r>
        <w:fldChar w:fldCharType="begin"/>
      </w:r>
      <w:r>
        <w:instrText xml:space="preserve"> PAGEREF _Toc29776 </w:instrText>
      </w:r>
      <w:r>
        <w:fldChar w:fldCharType="separate"/>
      </w:r>
      <w:r>
        <w:t>26</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_Toc3857 </w:instrText>
      </w:r>
      <w:r>
        <w:rPr>
          <w:rFonts w:hint="eastAsia" w:ascii="仿宋_GB2312" w:hAnsi="仿宋_GB2312" w:eastAsia="仿宋_GB2312" w:cs="仿宋_GB2312"/>
          <w:bCs/>
          <w:szCs w:val="28"/>
        </w:rPr>
        <w:fldChar w:fldCharType="separate"/>
      </w:r>
      <w:r>
        <w:rPr>
          <w:rFonts w:hint="eastAsia" w:ascii="楷体" w:hAnsi="楷体" w:eastAsia="楷体" w:cs="仿宋_GB2312"/>
        </w:rPr>
        <w:t>（三）构建健康的水生态体系</w:t>
      </w:r>
      <w:r>
        <w:tab/>
      </w:r>
      <w:r>
        <w:fldChar w:fldCharType="begin"/>
      </w:r>
      <w:r>
        <w:instrText xml:space="preserve"> PAGEREF _Toc3857 </w:instrText>
      </w:r>
      <w:r>
        <w:fldChar w:fldCharType="separate"/>
      </w:r>
      <w:r>
        <w:t>28</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_Toc12322 </w:instrText>
      </w:r>
      <w:r>
        <w:rPr>
          <w:rFonts w:hint="eastAsia" w:ascii="仿宋_GB2312" w:hAnsi="仿宋_GB2312" w:eastAsia="仿宋_GB2312" w:cs="仿宋_GB2312"/>
          <w:bCs/>
          <w:szCs w:val="28"/>
        </w:rPr>
        <w:fldChar w:fldCharType="separate"/>
      </w:r>
      <w:r>
        <w:rPr>
          <w:rFonts w:hint="eastAsia" w:ascii="楷体" w:hAnsi="楷体" w:eastAsia="楷体" w:cs="仿宋_GB2312"/>
        </w:rPr>
        <w:t>（四）构建智慧的水务信息化体系</w:t>
      </w:r>
      <w:r>
        <w:tab/>
      </w:r>
      <w:r>
        <w:fldChar w:fldCharType="begin"/>
      </w:r>
      <w:r>
        <w:instrText xml:space="preserve"> PAGEREF _Toc12322 </w:instrText>
      </w:r>
      <w:r>
        <w:fldChar w:fldCharType="separate"/>
      </w:r>
      <w:r>
        <w:t>32</w:t>
      </w:r>
      <w:r>
        <w:fldChar w:fldCharType="end"/>
      </w:r>
      <w:r>
        <w:rPr>
          <w:rFonts w:hint="eastAsia" w:ascii="仿宋_GB2312" w:hAnsi="仿宋_GB2312" w:eastAsia="仿宋_GB2312" w:cs="仿宋_GB2312"/>
          <w:bCs/>
          <w:color w:val="auto"/>
          <w:szCs w:val="28"/>
        </w:rPr>
        <w:fldChar w:fldCharType="end"/>
      </w:r>
    </w:p>
    <w:p>
      <w:pPr>
        <w:pStyle w:val="16"/>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_Toc6629 </w:instrText>
      </w:r>
      <w:r>
        <w:rPr>
          <w:rFonts w:hint="eastAsia" w:ascii="仿宋_GB2312" w:hAnsi="仿宋_GB2312" w:eastAsia="仿宋_GB2312" w:cs="仿宋_GB2312"/>
          <w:bCs/>
          <w:szCs w:val="28"/>
        </w:rPr>
        <w:fldChar w:fldCharType="separate"/>
      </w:r>
      <w:r>
        <w:rPr>
          <w:rFonts w:hint="eastAsia" w:ascii="黑体" w:hAnsi="黑体" w:eastAsia="黑体" w:cs="Times New Roman"/>
          <w:bCs w:val="0"/>
          <w:kern w:val="2"/>
          <w:szCs w:val="32"/>
        </w:rPr>
        <w:t>四、建立高效的水务管理体系</w:t>
      </w:r>
      <w:r>
        <w:tab/>
      </w:r>
      <w:r>
        <w:fldChar w:fldCharType="begin"/>
      </w:r>
      <w:r>
        <w:instrText xml:space="preserve"> PAGEREF _Toc6629 </w:instrText>
      </w:r>
      <w:r>
        <w:fldChar w:fldCharType="separate"/>
      </w:r>
      <w:r>
        <w:t>38</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_Toc21227 </w:instrText>
      </w:r>
      <w:r>
        <w:rPr>
          <w:rFonts w:hint="eastAsia" w:ascii="仿宋_GB2312" w:hAnsi="仿宋_GB2312" w:eastAsia="仿宋_GB2312" w:cs="仿宋_GB2312"/>
          <w:bCs/>
          <w:szCs w:val="28"/>
        </w:rPr>
        <w:fldChar w:fldCharType="separate"/>
      </w:r>
      <w:r>
        <w:rPr>
          <w:rFonts w:hint="eastAsia" w:ascii="楷体" w:hAnsi="楷体" w:eastAsia="楷体" w:cs="仿宋_GB2312"/>
        </w:rPr>
        <w:t>（一）强化水资源监管，促进水资源节约集约利用</w:t>
      </w:r>
      <w:r>
        <w:tab/>
      </w:r>
      <w:r>
        <w:fldChar w:fldCharType="begin"/>
      </w:r>
      <w:r>
        <w:instrText xml:space="preserve"> PAGEREF _Toc21227 </w:instrText>
      </w:r>
      <w:r>
        <w:fldChar w:fldCharType="separate"/>
      </w:r>
      <w:r>
        <w:t>38</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_Toc27995 </w:instrText>
      </w:r>
      <w:r>
        <w:rPr>
          <w:rFonts w:hint="eastAsia" w:ascii="仿宋_GB2312" w:hAnsi="仿宋_GB2312" w:eastAsia="仿宋_GB2312" w:cs="仿宋_GB2312"/>
          <w:bCs/>
          <w:szCs w:val="28"/>
        </w:rPr>
        <w:fldChar w:fldCharType="separate"/>
      </w:r>
      <w:r>
        <w:rPr>
          <w:rFonts w:hint="eastAsia" w:ascii="楷体" w:hAnsi="楷体" w:eastAsia="楷体" w:cs="仿宋_GB2312"/>
        </w:rPr>
        <w:t>（二）强化河流湖泊监管，持续改善河湖生态环境</w:t>
      </w:r>
      <w:r>
        <w:tab/>
      </w:r>
      <w:r>
        <w:fldChar w:fldCharType="begin"/>
      </w:r>
      <w:r>
        <w:instrText xml:space="preserve"> PAGEREF _Toc27995 </w:instrText>
      </w:r>
      <w:r>
        <w:fldChar w:fldCharType="separate"/>
      </w:r>
      <w:r>
        <w:t>39</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_Toc5172 </w:instrText>
      </w:r>
      <w:r>
        <w:rPr>
          <w:rFonts w:hint="eastAsia" w:ascii="仿宋_GB2312" w:hAnsi="仿宋_GB2312" w:eastAsia="仿宋_GB2312" w:cs="仿宋_GB2312"/>
          <w:bCs/>
          <w:szCs w:val="28"/>
        </w:rPr>
        <w:fldChar w:fldCharType="separate"/>
      </w:r>
      <w:r>
        <w:rPr>
          <w:rFonts w:hint="eastAsia" w:ascii="楷体" w:hAnsi="楷体" w:eastAsia="楷体" w:cs="仿宋_GB2312"/>
        </w:rPr>
        <w:t>（三）强化水利工程监管，充分发挥工程综合效益</w:t>
      </w:r>
      <w:r>
        <w:tab/>
      </w:r>
      <w:r>
        <w:fldChar w:fldCharType="begin"/>
      </w:r>
      <w:r>
        <w:instrText xml:space="preserve"> PAGEREF _Toc5172 </w:instrText>
      </w:r>
      <w:r>
        <w:fldChar w:fldCharType="separate"/>
      </w:r>
      <w:r>
        <w:t>40</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_Toc10524 </w:instrText>
      </w:r>
      <w:r>
        <w:rPr>
          <w:rFonts w:hint="eastAsia" w:ascii="仿宋_GB2312" w:hAnsi="仿宋_GB2312" w:eastAsia="仿宋_GB2312" w:cs="仿宋_GB2312"/>
          <w:bCs/>
          <w:szCs w:val="28"/>
        </w:rPr>
        <w:fldChar w:fldCharType="separate"/>
      </w:r>
      <w:r>
        <w:rPr>
          <w:rFonts w:hint="eastAsia" w:ascii="楷体" w:hAnsi="楷体" w:eastAsia="楷体" w:cs="仿宋_GB2312"/>
        </w:rPr>
        <w:t>（四）强化水土保持监管，有效遏制人为水土流失</w:t>
      </w:r>
      <w:r>
        <w:tab/>
      </w:r>
      <w:r>
        <w:fldChar w:fldCharType="begin"/>
      </w:r>
      <w:r>
        <w:instrText xml:space="preserve"> PAGEREF _Toc10524 </w:instrText>
      </w:r>
      <w:r>
        <w:fldChar w:fldCharType="separate"/>
      </w:r>
      <w:r>
        <w:t>41</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_Toc19006 </w:instrText>
      </w:r>
      <w:r>
        <w:rPr>
          <w:rFonts w:hint="eastAsia" w:ascii="仿宋_GB2312" w:hAnsi="仿宋_GB2312" w:eastAsia="仿宋_GB2312" w:cs="仿宋_GB2312"/>
          <w:bCs/>
          <w:szCs w:val="28"/>
        </w:rPr>
        <w:fldChar w:fldCharType="separate"/>
      </w:r>
      <w:r>
        <w:rPr>
          <w:rFonts w:hint="eastAsia" w:ascii="楷体" w:hAnsi="楷体" w:eastAsia="楷体" w:cs="仿宋_GB2312"/>
        </w:rPr>
        <w:t>（五）强化水安全风险管控，提高应急处置能力</w:t>
      </w:r>
      <w:r>
        <w:tab/>
      </w:r>
      <w:r>
        <w:fldChar w:fldCharType="begin"/>
      </w:r>
      <w:r>
        <w:instrText xml:space="preserve"> PAGEREF _Toc19006 </w:instrText>
      </w:r>
      <w:r>
        <w:fldChar w:fldCharType="separate"/>
      </w:r>
      <w:r>
        <w:t>41</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_Toc4788 </w:instrText>
      </w:r>
      <w:r>
        <w:rPr>
          <w:rFonts w:hint="eastAsia" w:ascii="仿宋_GB2312" w:hAnsi="仿宋_GB2312" w:eastAsia="仿宋_GB2312" w:cs="仿宋_GB2312"/>
          <w:bCs/>
          <w:szCs w:val="28"/>
        </w:rPr>
        <w:fldChar w:fldCharType="separate"/>
      </w:r>
      <w:r>
        <w:rPr>
          <w:rFonts w:hint="eastAsia" w:ascii="楷体" w:hAnsi="楷体" w:eastAsia="楷体" w:cs="仿宋_GB2312"/>
        </w:rPr>
        <w:t>（六）强化水行政执法，维护良好水事秩序</w:t>
      </w:r>
      <w:r>
        <w:tab/>
      </w:r>
      <w:r>
        <w:fldChar w:fldCharType="begin"/>
      </w:r>
      <w:r>
        <w:instrText xml:space="preserve"> PAGEREF _Toc4788 </w:instrText>
      </w:r>
      <w:r>
        <w:fldChar w:fldCharType="separate"/>
      </w:r>
      <w:r>
        <w:t>42</w:t>
      </w:r>
      <w:r>
        <w:fldChar w:fldCharType="end"/>
      </w:r>
      <w:r>
        <w:rPr>
          <w:rFonts w:hint="eastAsia" w:ascii="仿宋_GB2312" w:hAnsi="仿宋_GB2312" w:eastAsia="仿宋_GB2312" w:cs="仿宋_GB2312"/>
          <w:bCs/>
          <w:color w:val="auto"/>
          <w:szCs w:val="28"/>
        </w:rPr>
        <w:fldChar w:fldCharType="end"/>
      </w:r>
    </w:p>
    <w:p>
      <w:pPr>
        <w:pStyle w:val="16"/>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_Toc4976 </w:instrText>
      </w:r>
      <w:r>
        <w:rPr>
          <w:rFonts w:hint="eastAsia" w:ascii="仿宋_GB2312" w:hAnsi="仿宋_GB2312" w:eastAsia="仿宋_GB2312" w:cs="仿宋_GB2312"/>
          <w:bCs/>
          <w:szCs w:val="28"/>
        </w:rPr>
        <w:fldChar w:fldCharType="separate"/>
      </w:r>
      <w:r>
        <w:rPr>
          <w:rFonts w:hint="eastAsia" w:ascii="黑体" w:hAnsi="黑体" w:eastAsia="黑体" w:cs="Times New Roman"/>
          <w:bCs w:val="0"/>
          <w:kern w:val="2"/>
          <w:szCs w:val="32"/>
        </w:rPr>
        <w:t>五、激发水利发展内生动力</w:t>
      </w:r>
      <w:r>
        <w:tab/>
      </w:r>
      <w:r>
        <w:fldChar w:fldCharType="begin"/>
      </w:r>
      <w:r>
        <w:instrText xml:space="preserve"> PAGEREF _Toc4976 </w:instrText>
      </w:r>
      <w:r>
        <w:fldChar w:fldCharType="separate"/>
      </w:r>
      <w:r>
        <w:t>43</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_Toc10708 </w:instrText>
      </w:r>
      <w:r>
        <w:rPr>
          <w:rFonts w:hint="eastAsia" w:ascii="仿宋_GB2312" w:hAnsi="仿宋_GB2312" w:eastAsia="仿宋_GB2312" w:cs="仿宋_GB2312"/>
          <w:bCs/>
          <w:szCs w:val="28"/>
        </w:rPr>
        <w:fldChar w:fldCharType="separate"/>
      </w:r>
      <w:r>
        <w:rPr>
          <w:rFonts w:hint="eastAsia" w:ascii="楷体" w:hAnsi="楷体" w:eastAsia="楷体" w:cs="仿宋_GB2312"/>
        </w:rPr>
        <w:t>（一）完善水利法治体系，提升水利法治化水平</w:t>
      </w:r>
      <w:r>
        <w:tab/>
      </w:r>
      <w:r>
        <w:fldChar w:fldCharType="begin"/>
      </w:r>
      <w:r>
        <w:instrText xml:space="preserve"> PAGEREF _Toc10708 </w:instrText>
      </w:r>
      <w:r>
        <w:fldChar w:fldCharType="separate"/>
      </w:r>
      <w:r>
        <w:t>43</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_Toc26637 </w:instrText>
      </w:r>
      <w:r>
        <w:rPr>
          <w:rFonts w:hint="eastAsia" w:ascii="仿宋_GB2312" w:hAnsi="仿宋_GB2312" w:eastAsia="仿宋_GB2312" w:cs="仿宋_GB2312"/>
          <w:bCs/>
          <w:szCs w:val="28"/>
        </w:rPr>
        <w:fldChar w:fldCharType="separate"/>
      </w:r>
      <w:r>
        <w:rPr>
          <w:rFonts w:hint="eastAsia" w:ascii="楷体" w:hAnsi="楷体" w:eastAsia="楷体" w:cs="仿宋_GB2312"/>
        </w:rPr>
        <w:t>（二）</w:t>
      </w:r>
      <w:r>
        <w:rPr>
          <w:rFonts w:hint="eastAsia" w:ascii="楷体" w:hAnsi="楷体" w:eastAsia="楷体" w:cs="仿宋_GB2312"/>
          <w:lang w:val="en-US" w:eastAsia="zh-CN"/>
        </w:rPr>
        <w:t>深化</w:t>
      </w:r>
      <w:r>
        <w:rPr>
          <w:rFonts w:hint="eastAsia" w:ascii="楷体" w:hAnsi="楷体" w:eastAsia="楷体" w:cs="仿宋_GB2312"/>
        </w:rPr>
        <w:t>管护体制改革，促进工程良性运行</w:t>
      </w:r>
      <w:r>
        <w:tab/>
      </w:r>
      <w:r>
        <w:fldChar w:fldCharType="begin"/>
      </w:r>
      <w:r>
        <w:instrText xml:space="preserve"> PAGEREF _Toc26637 </w:instrText>
      </w:r>
      <w:r>
        <w:fldChar w:fldCharType="separate"/>
      </w:r>
      <w:r>
        <w:t>44</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_Toc1956 </w:instrText>
      </w:r>
      <w:r>
        <w:rPr>
          <w:rFonts w:hint="eastAsia" w:ascii="仿宋_GB2312" w:hAnsi="仿宋_GB2312" w:eastAsia="仿宋_GB2312" w:cs="仿宋_GB2312"/>
          <w:bCs/>
          <w:szCs w:val="28"/>
        </w:rPr>
        <w:fldChar w:fldCharType="separate"/>
      </w:r>
      <w:r>
        <w:rPr>
          <w:rFonts w:hint="eastAsia" w:ascii="楷体" w:hAnsi="楷体" w:eastAsia="楷体" w:cs="仿宋_GB2312"/>
        </w:rPr>
        <w:t>（三）深化水资源价税改革，提高水资源利用效率和效益</w:t>
      </w:r>
      <w:r>
        <w:tab/>
      </w:r>
      <w:r>
        <w:fldChar w:fldCharType="begin"/>
      </w:r>
      <w:r>
        <w:instrText xml:space="preserve"> PAGEREF _Toc1956 </w:instrText>
      </w:r>
      <w:r>
        <w:fldChar w:fldCharType="separate"/>
      </w:r>
      <w:r>
        <w:t>44</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_Toc16075 </w:instrText>
      </w:r>
      <w:r>
        <w:rPr>
          <w:rFonts w:hint="eastAsia" w:ascii="仿宋_GB2312" w:hAnsi="仿宋_GB2312" w:eastAsia="仿宋_GB2312" w:cs="仿宋_GB2312"/>
          <w:bCs/>
          <w:szCs w:val="28"/>
        </w:rPr>
        <w:fldChar w:fldCharType="separate"/>
      </w:r>
      <w:r>
        <w:rPr>
          <w:rFonts w:hint="eastAsia" w:ascii="楷体" w:hAnsi="楷体" w:eastAsia="楷体" w:cs="仿宋_GB2312"/>
        </w:rPr>
        <w:t>（四）推进投融资机制改革，保障建设资金需求</w:t>
      </w:r>
      <w:r>
        <w:tab/>
      </w:r>
      <w:r>
        <w:fldChar w:fldCharType="begin"/>
      </w:r>
      <w:r>
        <w:instrText xml:space="preserve"> PAGEREF _Toc16075 </w:instrText>
      </w:r>
      <w:r>
        <w:fldChar w:fldCharType="separate"/>
      </w:r>
      <w:r>
        <w:t>45</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_Toc10625 </w:instrText>
      </w:r>
      <w:r>
        <w:rPr>
          <w:rFonts w:hint="eastAsia" w:ascii="仿宋_GB2312" w:hAnsi="仿宋_GB2312" w:eastAsia="仿宋_GB2312" w:cs="仿宋_GB2312"/>
          <w:bCs/>
          <w:szCs w:val="28"/>
        </w:rPr>
        <w:fldChar w:fldCharType="separate"/>
      </w:r>
      <w:r>
        <w:rPr>
          <w:rFonts w:hint="eastAsia" w:ascii="楷体" w:hAnsi="楷体" w:eastAsia="楷体" w:cs="仿宋_GB2312"/>
        </w:rPr>
        <w:t>（五）创新水库移民后期扶持管理，发挥资金使用效益</w:t>
      </w:r>
      <w:r>
        <w:tab/>
      </w:r>
      <w:r>
        <w:fldChar w:fldCharType="begin"/>
      </w:r>
      <w:r>
        <w:instrText xml:space="preserve"> PAGEREF _Toc10625 </w:instrText>
      </w:r>
      <w:r>
        <w:fldChar w:fldCharType="separate"/>
      </w:r>
      <w:r>
        <w:t>45</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_Toc777 </w:instrText>
      </w:r>
      <w:r>
        <w:rPr>
          <w:rFonts w:hint="eastAsia" w:ascii="仿宋_GB2312" w:hAnsi="仿宋_GB2312" w:eastAsia="仿宋_GB2312" w:cs="仿宋_GB2312"/>
          <w:bCs/>
          <w:szCs w:val="28"/>
        </w:rPr>
        <w:fldChar w:fldCharType="separate"/>
      </w:r>
      <w:r>
        <w:rPr>
          <w:rFonts w:hint="eastAsia" w:ascii="楷体" w:hAnsi="楷体" w:eastAsia="楷体" w:cs="仿宋_GB2312"/>
          <w:lang w:val="en-US" w:eastAsia="zh-CN"/>
        </w:rPr>
        <w:t>（六）创新农村生活污水管理方式，提升农村人居环境</w:t>
      </w:r>
      <w:r>
        <w:tab/>
      </w:r>
      <w:r>
        <w:fldChar w:fldCharType="begin"/>
      </w:r>
      <w:r>
        <w:instrText xml:space="preserve"> PAGEREF _Toc777 </w:instrText>
      </w:r>
      <w:r>
        <w:fldChar w:fldCharType="separate"/>
      </w:r>
      <w:r>
        <w:t>45</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_Toc2788 </w:instrText>
      </w:r>
      <w:r>
        <w:rPr>
          <w:rFonts w:hint="eastAsia" w:ascii="仿宋_GB2312" w:hAnsi="仿宋_GB2312" w:eastAsia="仿宋_GB2312" w:cs="仿宋_GB2312"/>
          <w:bCs/>
          <w:szCs w:val="28"/>
        </w:rPr>
        <w:fldChar w:fldCharType="separate"/>
      </w:r>
      <w:r>
        <w:rPr>
          <w:rFonts w:hint="eastAsia" w:ascii="楷体" w:hAnsi="楷体" w:eastAsia="楷体" w:cs="仿宋_GB2312"/>
          <w:bCs/>
          <w:kern w:val="0"/>
          <w:szCs w:val="32"/>
          <w:lang w:val="en-US" w:eastAsia="zh-CN" w:bidi="ar-SA"/>
        </w:rPr>
        <w:t>（七）创新农村黑臭水体治理体系，打造村居优美水环境</w:t>
      </w:r>
      <w:r>
        <w:tab/>
      </w:r>
      <w:r>
        <w:fldChar w:fldCharType="begin"/>
      </w:r>
      <w:r>
        <w:instrText xml:space="preserve"> PAGEREF _Toc2788 </w:instrText>
      </w:r>
      <w:r>
        <w:fldChar w:fldCharType="separate"/>
      </w:r>
      <w:r>
        <w:t>46</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_Toc20907 </w:instrText>
      </w:r>
      <w:r>
        <w:rPr>
          <w:rFonts w:hint="eastAsia" w:ascii="仿宋_GB2312" w:hAnsi="仿宋_GB2312" w:eastAsia="仿宋_GB2312" w:cs="仿宋_GB2312"/>
          <w:bCs/>
          <w:szCs w:val="28"/>
        </w:rPr>
        <w:fldChar w:fldCharType="separate"/>
      </w:r>
      <w:r>
        <w:rPr>
          <w:rFonts w:hint="eastAsia" w:ascii="楷体" w:hAnsi="楷体" w:eastAsia="楷体" w:cs="仿宋_GB2312"/>
          <w:lang w:val="en-US" w:eastAsia="zh-CN"/>
        </w:rPr>
        <w:t>（八）加强人才队伍建设，提升干部队伍素质</w:t>
      </w:r>
      <w:r>
        <w:tab/>
      </w:r>
      <w:r>
        <w:fldChar w:fldCharType="begin"/>
      </w:r>
      <w:r>
        <w:instrText xml:space="preserve"> PAGEREF _Toc20907 </w:instrText>
      </w:r>
      <w:r>
        <w:fldChar w:fldCharType="separate"/>
      </w:r>
      <w:r>
        <w:t>46</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_Toc20289 </w:instrText>
      </w:r>
      <w:r>
        <w:rPr>
          <w:rFonts w:hint="eastAsia" w:ascii="仿宋_GB2312" w:hAnsi="仿宋_GB2312" w:eastAsia="仿宋_GB2312" w:cs="仿宋_GB2312"/>
          <w:bCs/>
          <w:szCs w:val="28"/>
        </w:rPr>
        <w:fldChar w:fldCharType="separate"/>
      </w:r>
      <w:r>
        <w:rPr>
          <w:rFonts w:hint="eastAsia" w:ascii="楷体" w:hAnsi="楷体" w:eastAsia="楷体" w:cs="仿宋_GB2312"/>
        </w:rPr>
        <w:t>（</w:t>
      </w:r>
      <w:r>
        <w:rPr>
          <w:rFonts w:hint="eastAsia" w:ascii="楷体" w:hAnsi="楷体" w:eastAsia="楷体" w:cs="仿宋_GB2312"/>
          <w:lang w:val="en-US" w:eastAsia="zh-CN"/>
        </w:rPr>
        <w:t>九</w:t>
      </w:r>
      <w:r>
        <w:rPr>
          <w:rFonts w:hint="eastAsia" w:ascii="楷体" w:hAnsi="楷体" w:eastAsia="楷体" w:cs="仿宋_GB2312"/>
        </w:rPr>
        <w:t>）提升科技支撑水平，增强水利科技创新能力</w:t>
      </w:r>
      <w:r>
        <w:tab/>
      </w:r>
      <w:r>
        <w:fldChar w:fldCharType="begin"/>
      </w:r>
      <w:r>
        <w:instrText xml:space="preserve"> PAGEREF _Toc20289 </w:instrText>
      </w:r>
      <w:r>
        <w:fldChar w:fldCharType="separate"/>
      </w:r>
      <w:r>
        <w:t>47</w:t>
      </w:r>
      <w:r>
        <w:fldChar w:fldCharType="end"/>
      </w:r>
      <w:r>
        <w:rPr>
          <w:rFonts w:hint="eastAsia" w:ascii="仿宋_GB2312" w:hAnsi="仿宋_GB2312" w:eastAsia="仿宋_GB2312" w:cs="仿宋_GB2312"/>
          <w:bCs/>
          <w:color w:val="auto"/>
          <w:szCs w:val="28"/>
        </w:rPr>
        <w:fldChar w:fldCharType="end"/>
      </w:r>
    </w:p>
    <w:p>
      <w:pPr>
        <w:pStyle w:val="16"/>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_Toc23018 </w:instrText>
      </w:r>
      <w:r>
        <w:rPr>
          <w:rFonts w:hint="eastAsia" w:ascii="仿宋_GB2312" w:hAnsi="仿宋_GB2312" w:eastAsia="仿宋_GB2312" w:cs="仿宋_GB2312"/>
          <w:bCs/>
          <w:szCs w:val="28"/>
        </w:rPr>
        <w:fldChar w:fldCharType="separate"/>
      </w:r>
      <w:r>
        <w:rPr>
          <w:rFonts w:hint="eastAsia" w:ascii="黑体" w:hAnsi="黑体" w:eastAsia="黑体" w:cs="Times New Roman"/>
          <w:bCs w:val="0"/>
          <w:kern w:val="2"/>
          <w:szCs w:val="32"/>
          <w:lang w:val="en-US" w:eastAsia="zh-CN"/>
        </w:rPr>
        <w:t>六、投资规模和实施安排</w:t>
      </w:r>
      <w:r>
        <w:tab/>
      </w:r>
      <w:r>
        <w:fldChar w:fldCharType="begin"/>
      </w:r>
      <w:r>
        <w:instrText xml:space="preserve"> PAGEREF _Toc23018 </w:instrText>
      </w:r>
      <w:r>
        <w:fldChar w:fldCharType="separate"/>
      </w:r>
      <w:r>
        <w:t>48</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_Toc1056 </w:instrText>
      </w:r>
      <w:r>
        <w:rPr>
          <w:rFonts w:hint="eastAsia" w:ascii="仿宋_GB2312" w:hAnsi="仿宋_GB2312" w:eastAsia="仿宋_GB2312" w:cs="仿宋_GB2312"/>
          <w:bCs/>
          <w:szCs w:val="28"/>
        </w:rPr>
        <w:fldChar w:fldCharType="separate"/>
      </w:r>
      <w:r>
        <w:rPr>
          <w:rFonts w:hint="eastAsia" w:ascii="楷体" w:hAnsi="楷体" w:eastAsia="楷体" w:cs="仿宋_GB2312"/>
        </w:rPr>
        <w:t>（一）</w:t>
      </w:r>
      <w:r>
        <w:rPr>
          <w:rFonts w:hint="eastAsia" w:ascii="楷体" w:hAnsi="楷体" w:eastAsia="楷体" w:cs="仿宋_GB2312"/>
          <w:lang w:val="en-US" w:eastAsia="zh-CN"/>
        </w:rPr>
        <w:t>投资规模</w:t>
      </w:r>
      <w:r>
        <w:tab/>
      </w:r>
      <w:r>
        <w:fldChar w:fldCharType="begin"/>
      </w:r>
      <w:r>
        <w:instrText xml:space="preserve"> PAGEREF _Toc1056 </w:instrText>
      </w:r>
      <w:r>
        <w:fldChar w:fldCharType="separate"/>
      </w:r>
      <w:r>
        <w:t>48</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_Toc27036 </w:instrText>
      </w:r>
      <w:r>
        <w:rPr>
          <w:rFonts w:hint="eastAsia" w:ascii="仿宋_GB2312" w:hAnsi="仿宋_GB2312" w:eastAsia="仿宋_GB2312" w:cs="仿宋_GB2312"/>
          <w:bCs/>
          <w:szCs w:val="28"/>
        </w:rPr>
        <w:fldChar w:fldCharType="separate"/>
      </w:r>
      <w:r>
        <w:rPr>
          <w:rFonts w:hint="eastAsia" w:ascii="楷体" w:hAnsi="楷体" w:eastAsia="楷体" w:cs="仿宋_GB2312"/>
          <w:lang w:val="en-US" w:eastAsia="zh-CN"/>
        </w:rPr>
        <w:t>（二）实施安排</w:t>
      </w:r>
      <w:r>
        <w:tab/>
      </w:r>
      <w:r>
        <w:fldChar w:fldCharType="begin"/>
      </w:r>
      <w:r>
        <w:instrText xml:space="preserve"> PAGEREF _Toc27036 </w:instrText>
      </w:r>
      <w:r>
        <w:fldChar w:fldCharType="separate"/>
      </w:r>
      <w:r>
        <w:t>48</w:t>
      </w:r>
      <w:r>
        <w:fldChar w:fldCharType="end"/>
      </w:r>
      <w:r>
        <w:rPr>
          <w:rFonts w:hint="eastAsia" w:ascii="仿宋_GB2312" w:hAnsi="仿宋_GB2312" w:eastAsia="仿宋_GB2312" w:cs="仿宋_GB2312"/>
          <w:bCs/>
          <w:color w:val="auto"/>
          <w:szCs w:val="28"/>
        </w:rPr>
        <w:fldChar w:fldCharType="end"/>
      </w:r>
    </w:p>
    <w:p>
      <w:pPr>
        <w:pStyle w:val="16"/>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_Toc1215 </w:instrText>
      </w:r>
      <w:r>
        <w:rPr>
          <w:rFonts w:hint="eastAsia" w:ascii="仿宋_GB2312" w:hAnsi="仿宋_GB2312" w:eastAsia="仿宋_GB2312" w:cs="仿宋_GB2312"/>
          <w:bCs/>
          <w:szCs w:val="28"/>
        </w:rPr>
        <w:fldChar w:fldCharType="separate"/>
      </w:r>
      <w:r>
        <w:rPr>
          <w:rFonts w:hint="eastAsia" w:ascii="黑体" w:hAnsi="黑体" w:eastAsia="黑体" w:cs="Times New Roman"/>
          <w:bCs w:val="0"/>
          <w:kern w:val="2"/>
          <w:szCs w:val="32"/>
          <w:lang w:val="en-US" w:eastAsia="zh-CN"/>
        </w:rPr>
        <w:t>七</w:t>
      </w:r>
      <w:r>
        <w:rPr>
          <w:rFonts w:hint="eastAsia" w:ascii="黑体" w:hAnsi="黑体" w:eastAsia="黑体" w:cs="Times New Roman"/>
          <w:bCs w:val="0"/>
          <w:kern w:val="2"/>
          <w:szCs w:val="32"/>
        </w:rPr>
        <w:t>、保障措施</w:t>
      </w:r>
      <w:r>
        <w:tab/>
      </w:r>
      <w:r>
        <w:fldChar w:fldCharType="begin"/>
      </w:r>
      <w:r>
        <w:instrText xml:space="preserve"> PAGEREF _Toc1215 </w:instrText>
      </w:r>
      <w:r>
        <w:fldChar w:fldCharType="separate"/>
      </w:r>
      <w:r>
        <w:t>49</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_Toc10430 </w:instrText>
      </w:r>
      <w:r>
        <w:rPr>
          <w:rFonts w:hint="eastAsia" w:ascii="仿宋_GB2312" w:hAnsi="仿宋_GB2312" w:eastAsia="仿宋_GB2312" w:cs="仿宋_GB2312"/>
          <w:bCs/>
          <w:szCs w:val="28"/>
        </w:rPr>
        <w:fldChar w:fldCharType="separate"/>
      </w:r>
      <w:r>
        <w:rPr>
          <w:rFonts w:hint="eastAsia" w:ascii="楷体" w:hAnsi="楷体" w:eastAsia="楷体" w:cs="仿宋_GB2312"/>
        </w:rPr>
        <w:t>（一）加强党的全面领导</w:t>
      </w:r>
      <w:r>
        <w:tab/>
      </w:r>
      <w:r>
        <w:fldChar w:fldCharType="begin"/>
      </w:r>
      <w:r>
        <w:instrText xml:space="preserve"> PAGEREF _Toc10430 </w:instrText>
      </w:r>
      <w:r>
        <w:fldChar w:fldCharType="separate"/>
      </w:r>
      <w:r>
        <w:t>49</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_Toc5115 </w:instrText>
      </w:r>
      <w:r>
        <w:rPr>
          <w:rFonts w:hint="eastAsia" w:ascii="仿宋_GB2312" w:hAnsi="仿宋_GB2312" w:eastAsia="仿宋_GB2312" w:cs="仿宋_GB2312"/>
          <w:bCs/>
          <w:szCs w:val="28"/>
        </w:rPr>
        <w:fldChar w:fldCharType="separate"/>
      </w:r>
      <w:r>
        <w:rPr>
          <w:rFonts w:hint="eastAsia" w:ascii="楷体" w:hAnsi="楷体" w:eastAsia="楷体" w:cs="仿宋_GB2312"/>
        </w:rPr>
        <w:t>（二）突出规划引领作用</w:t>
      </w:r>
      <w:r>
        <w:tab/>
      </w:r>
      <w:r>
        <w:fldChar w:fldCharType="begin"/>
      </w:r>
      <w:r>
        <w:instrText xml:space="preserve"> PAGEREF _Toc5115 </w:instrText>
      </w:r>
      <w:r>
        <w:fldChar w:fldCharType="separate"/>
      </w:r>
      <w:r>
        <w:t>49</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_Toc26181 </w:instrText>
      </w:r>
      <w:r>
        <w:rPr>
          <w:rFonts w:hint="eastAsia" w:ascii="仿宋_GB2312" w:hAnsi="仿宋_GB2312" w:eastAsia="仿宋_GB2312" w:cs="仿宋_GB2312"/>
          <w:bCs/>
          <w:szCs w:val="28"/>
        </w:rPr>
        <w:fldChar w:fldCharType="separate"/>
      </w:r>
      <w:r>
        <w:rPr>
          <w:rFonts w:hint="eastAsia" w:ascii="楷体" w:hAnsi="楷体" w:eastAsia="楷体" w:cs="仿宋_GB2312"/>
        </w:rPr>
        <w:t>（</w:t>
      </w:r>
      <w:r>
        <w:rPr>
          <w:rFonts w:hint="eastAsia" w:ascii="楷体" w:hAnsi="楷体" w:eastAsia="楷体" w:cs="仿宋_GB2312"/>
          <w:lang w:val="en-US" w:eastAsia="zh-CN"/>
        </w:rPr>
        <w:t>三</w:t>
      </w:r>
      <w:r>
        <w:rPr>
          <w:rFonts w:hint="eastAsia" w:ascii="楷体" w:hAnsi="楷体" w:eastAsia="楷体" w:cs="仿宋_GB2312"/>
        </w:rPr>
        <w:t>）强化要素支撑保障</w:t>
      </w:r>
      <w:r>
        <w:tab/>
      </w:r>
      <w:r>
        <w:fldChar w:fldCharType="begin"/>
      </w:r>
      <w:r>
        <w:instrText xml:space="preserve"> PAGEREF _Toc26181 </w:instrText>
      </w:r>
      <w:r>
        <w:fldChar w:fldCharType="separate"/>
      </w:r>
      <w:r>
        <w:t>49</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_Toc9815 </w:instrText>
      </w:r>
      <w:r>
        <w:rPr>
          <w:rFonts w:hint="eastAsia" w:ascii="仿宋_GB2312" w:hAnsi="仿宋_GB2312" w:eastAsia="仿宋_GB2312" w:cs="仿宋_GB2312"/>
          <w:bCs/>
          <w:szCs w:val="28"/>
        </w:rPr>
        <w:fldChar w:fldCharType="separate"/>
      </w:r>
      <w:r>
        <w:rPr>
          <w:rFonts w:hint="eastAsia" w:ascii="楷体" w:hAnsi="楷体" w:eastAsia="楷体" w:cs="仿宋_GB2312"/>
        </w:rPr>
        <w:t>（四）完善规划实施机制</w:t>
      </w:r>
      <w:r>
        <w:tab/>
      </w:r>
      <w:r>
        <w:fldChar w:fldCharType="begin"/>
      </w:r>
      <w:r>
        <w:instrText xml:space="preserve"> PAGEREF _Toc9815 </w:instrText>
      </w:r>
      <w:r>
        <w:fldChar w:fldCharType="separate"/>
      </w:r>
      <w:r>
        <w:t>50</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_Toc10369 </w:instrText>
      </w:r>
      <w:r>
        <w:rPr>
          <w:rFonts w:hint="eastAsia" w:ascii="仿宋_GB2312" w:hAnsi="仿宋_GB2312" w:eastAsia="仿宋_GB2312" w:cs="仿宋_GB2312"/>
          <w:bCs/>
          <w:szCs w:val="28"/>
        </w:rPr>
        <w:fldChar w:fldCharType="separate"/>
      </w:r>
      <w:r>
        <w:rPr>
          <w:rFonts w:hint="eastAsia" w:ascii="楷体" w:hAnsi="楷体" w:eastAsia="楷体" w:cs="仿宋_GB2312"/>
        </w:rPr>
        <w:t>（</w:t>
      </w:r>
      <w:r>
        <w:rPr>
          <w:rFonts w:hint="eastAsia" w:ascii="楷体" w:hAnsi="楷体" w:eastAsia="楷体" w:cs="仿宋_GB2312"/>
          <w:lang w:val="en-US" w:eastAsia="zh-CN"/>
        </w:rPr>
        <w:t>五</w:t>
      </w:r>
      <w:r>
        <w:rPr>
          <w:rFonts w:hint="eastAsia" w:ascii="楷体" w:hAnsi="楷体" w:eastAsia="楷体" w:cs="仿宋_GB2312"/>
        </w:rPr>
        <w:t>）广泛凝聚治水合力</w:t>
      </w:r>
      <w:r>
        <w:tab/>
      </w:r>
      <w:r>
        <w:fldChar w:fldCharType="begin"/>
      </w:r>
      <w:r>
        <w:instrText xml:space="preserve"> PAGEREF _Toc10369 </w:instrText>
      </w:r>
      <w:r>
        <w:fldChar w:fldCharType="separate"/>
      </w:r>
      <w:r>
        <w:t>50</w:t>
      </w:r>
      <w:r>
        <w:fldChar w:fldCharType="end"/>
      </w:r>
      <w:r>
        <w:rPr>
          <w:rFonts w:hint="eastAsia" w:ascii="仿宋_GB2312" w:hAnsi="仿宋_GB2312" w:eastAsia="仿宋_GB2312" w:cs="仿宋_GB2312"/>
          <w:bCs/>
          <w:color w:val="auto"/>
          <w:szCs w:val="28"/>
        </w:rPr>
        <w:fldChar w:fldCharType="end"/>
      </w:r>
    </w:p>
    <w:p>
      <w:pPr>
        <w:pStyle w:val="17"/>
        <w:tabs>
          <w:tab w:val="right" w:leader="dot" w:pos="9660"/>
        </w:tabs>
      </w:pPr>
      <w:r>
        <w:rPr>
          <w:rFonts w:hint="eastAsia" w:ascii="仿宋_GB2312" w:hAnsi="仿宋_GB2312" w:eastAsia="仿宋_GB2312" w:cs="仿宋_GB2312"/>
          <w:bCs/>
          <w:color w:val="auto"/>
          <w:szCs w:val="28"/>
        </w:rPr>
        <w:fldChar w:fldCharType="begin"/>
      </w:r>
      <w:r>
        <w:rPr>
          <w:rFonts w:hint="eastAsia" w:ascii="仿宋_GB2312" w:hAnsi="仿宋_GB2312" w:eastAsia="仿宋_GB2312" w:cs="仿宋_GB2312"/>
          <w:bCs/>
          <w:szCs w:val="28"/>
        </w:rPr>
        <w:instrText xml:space="preserve"> HYPERLINK \l _Toc25940 </w:instrText>
      </w:r>
      <w:r>
        <w:rPr>
          <w:rFonts w:hint="eastAsia" w:ascii="仿宋_GB2312" w:hAnsi="仿宋_GB2312" w:eastAsia="仿宋_GB2312" w:cs="仿宋_GB2312"/>
          <w:bCs/>
          <w:szCs w:val="28"/>
        </w:rPr>
        <w:fldChar w:fldCharType="separate"/>
      </w:r>
      <w:r>
        <w:rPr>
          <w:rFonts w:hint="eastAsia" w:ascii="楷体" w:hAnsi="楷体" w:eastAsia="楷体" w:cs="仿宋_GB2312"/>
        </w:rPr>
        <w:t>（</w:t>
      </w:r>
      <w:r>
        <w:rPr>
          <w:rFonts w:hint="eastAsia" w:ascii="楷体" w:hAnsi="楷体" w:eastAsia="楷体" w:cs="仿宋_GB2312"/>
          <w:lang w:val="en-US" w:eastAsia="zh-CN"/>
        </w:rPr>
        <w:t>六</w:t>
      </w:r>
      <w:r>
        <w:rPr>
          <w:rFonts w:hint="eastAsia" w:ascii="楷体" w:hAnsi="楷体" w:eastAsia="楷体" w:cs="仿宋_GB2312"/>
        </w:rPr>
        <w:t>）严格</w:t>
      </w:r>
      <w:r>
        <w:rPr>
          <w:rFonts w:hint="eastAsia" w:ascii="楷体" w:hAnsi="楷体" w:eastAsia="楷体" w:cs="仿宋_GB2312"/>
          <w:lang w:val="en-US" w:eastAsia="zh-CN"/>
        </w:rPr>
        <w:t>监督</w:t>
      </w:r>
      <w:r>
        <w:rPr>
          <w:rFonts w:hint="eastAsia" w:ascii="楷体" w:hAnsi="楷体" w:eastAsia="楷体" w:cs="仿宋_GB2312"/>
        </w:rPr>
        <w:t>评估</w:t>
      </w:r>
      <w:r>
        <w:tab/>
      </w:r>
      <w:r>
        <w:fldChar w:fldCharType="begin"/>
      </w:r>
      <w:r>
        <w:instrText xml:space="preserve"> PAGEREF _Toc25940 </w:instrText>
      </w:r>
      <w:r>
        <w:fldChar w:fldCharType="separate"/>
      </w:r>
      <w:r>
        <w:t>50</w:t>
      </w:r>
      <w:r>
        <w:fldChar w:fldCharType="end"/>
      </w:r>
      <w:r>
        <w:rPr>
          <w:rFonts w:hint="eastAsia" w:ascii="仿宋_GB2312" w:hAnsi="仿宋_GB2312" w:eastAsia="仿宋_GB2312" w:cs="仿宋_GB2312"/>
          <w:bCs/>
          <w:color w:val="auto"/>
          <w:szCs w:val="28"/>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jc w:val="left"/>
        <w:textAlignment w:val="auto"/>
        <w:rPr>
          <w:rFonts w:ascii="仿宋_GB2312" w:hAnsi="仿宋_GB2312" w:eastAsia="仿宋_GB2312" w:cs="仿宋_GB2312"/>
          <w:b/>
          <w:bCs/>
          <w:color w:val="auto"/>
          <w:szCs w:val="30"/>
        </w:rPr>
      </w:pPr>
      <w:r>
        <w:rPr>
          <w:rFonts w:hint="eastAsia" w:ascii="仿宋_GB2312" w:hAnsi="仿宋_GB2312" w:eastAsia="仿宋_GB2312" w:cs="仿宋_GB2312"/>
          <w:bCs/>
          <w:color w:val="auto"/>
          <w:szCs w:val="28"/>
        </w:rPr>
        <w:fldChar w:fldCharType="end"/>
      </w:r>
    </w:p>
    <w:p>
      <w:pPr>
        <w:pStyle w:val="4"/>
        <w:spacing w:before="0" w:after="0" w:line="720" w:lineRule="exact"/>
        <w:ind w:firstLine="642" w:firstLineChars="200"/>
        <w:rPr>
          <w:rFonts w:ascii="仿宋_GB2312" w:hAnsi="仿宋_GB2312" w:eastAsia="仿宋_GB2312" w:cs="仿宋_GB2312"/>
          <w:color w:val="auto"/>
          <w:sz w:val="32"/>
          <w:szCs w:val="32"/>
        </w:rPr>
        <w:sectPr>
          <w:footerReference r:id="rId11" w:type="default"/>
          <w:pgSz w:w="11906" w:h="16838"/>
          <w:pgMar w:top="1157" w:right="1123" w:bottom="1213" w:left="1123" w:header="851" w:footer="992" w:gutter="0"/>
          <w:pgBorders>
            <w:top w:val="none" w:sz="0" w:space="0"/>
            <w:left w:val="none" w:sz="0" w:space="0"/>
            <w:bottom w:val="none" w:sz="0" w:space="0"/>
            <w:right w:val="none" w:sz="0" w:space="0"/>
          </w:pgBorders>
          <w:pgNumType w:fmt="numberInDash" w:start="1" w:chapStyle="1"/>
          <w:cols w:space="0" w:num="1"/>
          <w:rtlGutter w:val="0"/>
          <w:docGrid w:type="lines" w:linePitch="312" w:charSpace="0"/>
        </w:sectPr>
      </w:pPr>
    </w:p>
    <w:p>
      <w:pPr>
        <w:pStyle w:val="4"/>
        <w:pageBreakBefore w:val="0"/>
        <w:kinsoku/>
        <w:wordWrap/>
        <w:overflowPunct/>
        <w:topLinePunct w:val="0"/>
        <w:autoSpaceDE/>
        <w:autoSpaceDN/>
        <w:bidi w:val="0"/>
        <w:adjustRightInd w:val="0"/>
        <w:snapToGrid w:val="0"/>
        <w:spacing w:beforeLines="100" w:after="0" w:line="360" w:lineRule="auto"/>
        <w:jc w:val="center"/>
        <w:textAlignment w:val="auto"/>
        <w:rPr>
          <w:rFonts w:ascii="黑体" w:hAnsi="黑体" w:eastAsia="黑体" w:cs="Times New Roman"/>
          <w:b w:val="0"/>
          <w:bCs w:val="0"/>
          <w:color w:val="auto"/>
          <w:kern w:val="2"/>
          <w:sz w:val="32"/>
          <w:szCs w:val="32"/>
        </w:rPr>
      </w:pPr>
      <w:bookmarkStart w:id="2" w:name="_Toc28377"/>
      <w:r>
        <w:rPr>
          <w:rFonts w:hint="eastAsia" w:ascii="黑体" w:hAnsi="黑体" w:eastAsia="黑体" w:cs="Times New Roman"/>
          <w:b w:val="0"/>
          <w:bCs w:val="0"/>
          <w:color w:val="auto"/>
          <w:kern w:val="2"/>
          <w:sz w:val="32"/>
          <w:szCs w:val="32"/>
        </w:rPr>
        <w:t>一、现状与形势</w:t>
      </w:r>
      <w:bookmarkEnd w:id="2"/>
    </w:p>
    <w:p>
      <w:pPr>
        <w:pStyle w:val="5"/>
        <w:pageBreakBefore w:val="0"/>
        <w:kinsoku/>
        <w:wordWrap/>
        <w:overflowPunct/>
        <w:topLinePunct w:val="0"/>
        <w:autoSpaceDE/>
        <w:autoSpaceDN/>
        <w:bidi w:val="0"/>
        <w:adjustRightInd w:val="0"/>
        <w:snapToGrid w:val="0"/>
        <w:spacing w:beforeLines="100" w:beforeAutospacing="0" w:after="0" w:afterAutospacing="0" w:line="360" w:lineRule="auto"/>
        <w:textAlignment w:val="auto"/>
        <w:rPr>
          <w:rFonts w:ascii="楷体" w:hAnsi="楷体" w:eastAsia="楷体" w:cs="仿宋_GB2312"/>
          <w:color w:val="auto"/>
        </w:rPr>
      </w:pPr>
      <w:bookmarkStart w:id="3" w:name="_Toc16212"/>
      <w:r>
        <w:rPr>
          <w:rFonts w:hint="eastAsia" w:ascii="楷体" w:hAnsi="楷体" w:eastAsia="楷体" w:cs="仿宋_GB2312"/>
          <w:color w:val="auto"/>
        </w:rPr>
        <w:t>（一）基本情况</w:t>
      </w:r>
      <w:bookmarkEnd w:id="3"/>
    </w:p>
    <w:p>
      <w:pPr>
        <w:pageBreakBefore w:val="0"/>
        <w:kinsoku/>
        <w:wordWrap/>
        <w:overflowPunct/>
        <w:topLinePunct w:val="0"/>
        <w:autoSpaceDE/>
        <w:autoSpaceDN/>
        <w:bidi w:val="0"/>
        <w:adjustRightInd w:val="0"/>
        <w:snapToGrid w:val="0"/>
        <w:spacing w:line="360" w:lineRule="auto"/>
        <w:ind w:firstLine="650" w:firstLineChars="200"/>
        <w:textAlignment w:val="auto"/>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b/>
          <w:bCs/>
          <w:color w:val="auto"/>
          <w:spacing w:val="2"/>
          <w:sz w:val="32"/>
          <w:szCs w:val="32"/>
        </w:rPr>
        <w:t>1、自然地理</w:t>
      </w:r>
    </w:p>
    <w:p>
      <w:pPr>
        <w:keepNext w:val="0"/>
        <w:keepLines w:val="0"/>
        <w:pageBreakBefore w:val="0"/>
        <w:widowControl w:val="0"/>
        <w:kinsoku/>
        <w:wordWrap/>
        <w:overflowPunct/>
        <w:topLinePunct w:val="0"/>
        <w:autoSpaceDE/>
        <w:autoSpaceDN/>
        <w:bidi w:val="0"/>
        <w:adjustRightInd w:val="0"/>
        <w:snapToGrid w:val="0"/>
        <w:spacing w:line="360" w:lineRule="auto"/>
        <w:ind w:firstLine="648" w:firstLineChars="200"/>
        <w:textAlignment w:val="auto"/>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t>济宁市地处鲁西南腹地，东邻临沂，西与菏泽接壤，南临枣庄市和江苏省徐州市，北交泰安市，西北角隔着黄河与聊城市相望。最北端为北纬35°57′，最南端为北纬34°26′，最东端为东经117°36′，最西端为东经115°52′；南北长约167km，东西宽158km，总面积10685km</w:t>
      </w:r>
      <w:r>
        <w:rPr>
          <w:rFonts w:hint="eastAsia" w:ascii="仿宋_GB2312" w:hAnsi="仿宋_GB2312" w:eastAsia="仿宋_GB2312" w:cs="仿宋_GB2312"/>
          <w:color w:val="auto"/>
          <w:spacing w:val="2"/>
          <w:sz w:val="32"/>
          <w:szCs w:val="32"/>
          <w:vertAlign w:val="superscript"/>
        </w:rPr>
        <w:t>2</w:t>
      </w:r>
      <w:r>
        <w:rPr>
          <w:rFonts w:hint="eastAsia" w:ascii="仿宋_GB2312" w:hAnsi="仿宋_GB2312" w:eastAsia="仿宋_GB2312" w:cs="仿宋_GB2312"/>
          <w:color w:val="auto"/>
          <w:spacing w:val="2"/>
          <w:sz w:val="32"/>
          <w:szCs w:val="32"/>
        </w:rPr>
        <w:t>。济宁地处黄淮海平原与鲁中南山地交接地带，以平原洼地为主，地势东高西低，中部洼，地貌多元；</w:t>
      </w:r>
      <w:r>
        <w:rPr>
          <w:rFonts w:hint="eastAsia" w:ascii="仿宋_GB2312" w:hAnsi="仿宋_GB2312" w:eastAsia="仿宋_GB2312" w:cs="仿宋_GB2312"/>
          <w:bCs/>
          <w:color w:val="auto"/>
          <w:spacing w:val="2"/>
          <w:sz w:val="32"/>
          <w:szCs w:val="32"/>
        </w:rPr>
        <w:t>属温带季风型气候，多年平均气温13.3～14.1℃，</w:t>
      </w:r>
      <w:r>
        <w:rPr>
          <w:rFonts w:hint="eastAsia" w:ascii="仿宋_GB2312" w:hAnsi="仿宋_GB2312" w:eastAsia="仿宋_GB2312" w:cs="仿宋_GB2312"/>
          <w:bCs/>
          <w:color w:val="auto"/>
          <w:sz w:val="32"/>
          <w:szCs w:val="32"/>
        </w:rPr>
        <w:t>多年平均年降水量695.3mm，</w:t>
      </w:r>
      <w:r>
        <w:rPr>
          <w:rFonts w:hint="eastAsia" w:ascii="仿宋_GB2312" w:hAnsi="仿宋_GB2312" w:eastAsia="仿宋_GB2312" w:cs="仿宋_GB2312"/>
          <w:bCs/>
          <w:color w:val="auto"/>
          <w:spacing w:val="2"/>
          <w:sz w:val="32"/>
          <w:szCs w:val="32"/>
        </w:rPr>
        <w:t>6～9月占年降水量的70%以上。</w:t>
      </w:r>
    </w:p>
    <w:p>
      <w:pPr>
        <w:pageBreakBefore w:val="0"/>
        <w:kinsoku/>
        <w:wordWrap/>
        <w:overflowPunct/>
        <w:topLinePunct w:val="0"/>
        <w:autoSpaceDE/>
        <w:autoSpaceDN/>
        <w:bidi w:val="0"/>
        <w:adjustRightInd w:val="0"/>
        <w:snapToGrid w:val="0"/>
        <w:spacing w:line="360" w:lineRule="auto"/>
        <w:ind w:firstLine="650" w:firstLineChars="200"/>
        <w:textAlignment w:val="auto"/>
        <w:rPr>
          <w:rFonts w:hint="eastAsia" w:ascii="仿宋_GB2312" w:hAnsi="仿宋_GB2312" w:eastAsia="仿宋_GB2312" w:cs="仿宋_GB2312"/>
          <w:b/>
          <w:bCs/>
          <w:color w:val="auto"/>
          <w:spacing w:val="2"/>
          <w:sz w:val="32"/>
          <w:szCs w:val="32"/>
        </w:rPr>
      </w:pPr>
      <w:r>
        <w:rPr>
          <w:rFonts w:hint="eastAsia" w:ascii="仿宋_GB2312" w:hAnsi="仿宋_GB2312" w:eastAsia="仿宋_GB2312" w:cs="仿宋_GB2312"/>
          <w:b/>
          <w:bCs/>
          <w:color w:val="auto"/>
          <w:spacing w:val="2"/>
          <w:sz w:val="32"/>
          <w:szCs w:val="32"/>
        </w:rPr>
        <w:t>2、社会经济</w:t>
      </w:r>
    </w:p>
    <w:p>
      <w:pPr>
        <w:pageBreakBefore w:val="0"/>
        <w:kinsoku/>
        <w:wordWrap/>
        <w:overflowPunct/>
        <w:topLinePunct w:val="0"/>
        <w:autoSpaceDE/>
        <w:autoSpaceDN/>
        <w:bidi w:val="0"/>
        <w:adjustRightInd w:val="0"/>
        <w:snapToGrid w:val="0"/>
        <w:spacing w:line="360" w:lineRule="auto"/>
        <w:ind w:firstLine="648" w:firstLineChars="200"/>
        <w:textAlignment w:val="auto"/>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t>济宁是著名的“孔孟之乡、运河之都”，现辖任城、兖州、曲阜、邹城、微山、梁山等11个县市区，拥有济宁高新区、太白湖新区</w:t>
      </w:r>
      <w:r>
        <w:rPr>
          <w:rFonts w:hint="eastAsia" w:ascii="仿宋_GB2312" w:hAnsi="仿宋_GB2312" w:eastAsia="仿宋_GB2312" w:cs="仿宋_GB2312"/>
          <w:color w:val="auto"/>
          <w:spacing w:val="2"/>
          <w:sz w:val="32"/>
          <w:szCs w:val="32"/>
          <w:lang w:val="en-US" w:eastAsia="zh-CN"/>
        </w:rPr>
        <w:t>和</w:t>
      </w:r>
      <w:r>
        <w:rPr>
          <w:rFonts w:hint="eastAsia" w:ascii="仿宋_GB2312" w:hAnsi="仿宋_GB2312" w:eastAsia="仿宋_GB2312" w:cs="仿宋_GB2312"/>
          <w:color w:val="auto"/>
          <w:spacing w:val="2"/>
          <w:sz w:val="32"/>
          <w:szCs w:val="32"/>
        </w:rPr>
        <w:t>济宁经济技术开发区</w:t>
      </w:r>
      <w:r>
        <w:rPr>
          <w:rFonts w:hint="eastAsia" w:ascii="仿宋_GB2312" w:hAnsi="仿宋_GB2312" w:eastAsia="仿宋_GB2312" w:cs="仿宋_GB2312"/>
          <w:color w:val="auto"/>
          <w:spacing w:val="2"/>
          <w:sz w:val="32"/>
          <w:szCs w:val="32"/>
          <w:lang w:val="en-US" w:eastAsia="zh-CN"/>
        </w:rPr>
        <w:t>3</w:t>
      </w:r>
      <w:r>
        <w:rPr>
          <w:rFonts w:hint="eastAsia" w:ascii="仿宋_GB2312" w:hAnsi="仿宋_GB2312" w:eastAsia="仿宋_GB2312" w:cs="仿宋_GB2312"/>
          <w:color w:val="auto"/>
          <w:spacing w:val="2"/>
          <w:sz w:val="32"/>
          <w:szCs w:val="32"/>
        </w:rPr>
        <w:t>个功能区，面积1</w:t>
      </w:r>
      <w:r>
        <w:rPr>
          <w:rFonts w:hint="eastAsia" w:ascii="仿宋_GB2312" w:hAnsi="仿宋_GB2312" w:eastAsia="仿宋_GB2312" w:cs="仿宋_GB2312"/>
          <w:color w:val="auto"/>
          <w:spacing w:val="2"/>
          <w:sz w:val="32"/>
          <w:szCs w:val="32"/>
          <w:lang w:val="en-US" w:eastAsia="zh-CN"/>
        </w:rPr>
        <w:t>0685</w:t>
      </w:r>
      <w:r>
        <w:rPr>
          <w:rFonts w:hint="eastAsia" w:ascii="仿宋_GB2312" w:hAnsi="仿宋_GB2312" w:eastAsia="仿宋_GB2312" w:cs="仿宋_GB2312"/>
          <w:color w:val="auto"/>
          <w:spacing w:val="2"/>
          <w:sz w:val="32"/>
          <w:szCs w:val="32"/>
        </w:rPr>
        <w:t>km</w:t>
      </w:r>
      <w:r>
        <w:rPr>
          <w:rFonts w:hint="eastAsia" w:ascii="仿宋_GB2312" w:hAnsi="仿宋_GB2312" w:eastAsia="仿宋_GB2312" w:cs="仿宋_GB2312"/>
          <w:color w:val="auto"/>
          <w:spacing w:val="2"/>
          <w:sz w:val="32"/>
          <w:szCs w:val="32"/>
          <w:vertAlign w:val="superscript"/>
        </w:rPr>
        <w:t>2</w:t>
      </w:r>
      <w:r>
        <w:rPr>
          <w:rFonts w:hint="eastAsia" w:ascii="仿宋_GB2312" w:hAnsi="仿宋_GB2312" w:eastAsia="仿宋_GB2312" w:cs="仿宋_GB2312"/>
          <w:color w:val="auto"/>
          <w:spacing w:val="2"/>
          <w:sz w:val="32"/>
          <w:szCs w:val="32"/>
        </w:rPr>
        <w:t>。20</w:t>
      </w:r>
      <w:r>
        <w:rPr>
          <w:rFonts w:hint="eastAsia" w:ascii="仿宋_GB2312" w:hAnsi="仿宋_GB2312" w:eastAsia="仿宋_GB2312" w:cs="仿宋_GB2312"/>
          <w:color w:val="auto"/>
          <w:spacing w:val="2"/>
          <w:sz w:val="32"/>
          <w:szCs w:val="32"/>
          <w:lang w:val="en-US" w:eastAsia="zh-CN"/>
        </w:rPr>
        <w:t>20</w:t>
      </w:r>
      <w:r>
        <w:rPr>
          <w:rFonts w:hint="eastAsia" w:ascii="仿宋_GB2312" w:hAnsi="仿宋_GB2312" w:eastAsia="仿宋_GB2312" w:cs="仿宋_GB2312"/>
          <w:color w:val="auto"/>
          <w:spacing w:val="2"/>
          <w:sz w:val="32"/>
          <w:szCs w:val="32"/>
        </w:rPr>
        <w:t>年末户籍总人口894.1万人，其中城镇人口449.7万人、乡村人口444.4万人，全市生产总值完成</w:t>
      </w:r>
      <w:r>
        <w:rPr>
          <w:rFonts w:hint="eastAsia" w:ascii="仿宋_GB2312" w:hAnsi="仿宋_GB2312" w:eastAsia="仿宋_GB2312" w:cs="仿宋_GB2312"/>
          <w:color w:val="auto"/>
          <w:spacing w:val="2"/>
          <w:sz w:val="32"/>
          <w:szCs w:val="32"/>
          <w:lang w:val="en-US" w:eastAsia="zh-CN"/>
        </w:rPr>
        <w:t>4494.31</w:t>
      </w:r>
      <w:r>
        <w:rPr>
          <w:rFonts w:hint="eastAsia" w:ascii="仿宋_GB2312" w:hAnsi="仿宋_GB2312" w:eastAsia="仿宋_GB2312" w:cs="仿宋_GB2312"/>
          <w:color w:val="auto"/>
          <w:spacing w:val="2"/>
          <w:sz w:val="32"/>
          <w:szCs w:val="32"/>
        </w:rPr>
        <w:t>亿元，人均生产总值达5</w:t>
      </w:r>
      <w:r>
        <w:rPr>
          <w:rFonts w:hint="eastAsia" w:ascii="仿宋_GB2312" w:hAnsi="仿宋_GB2312" w:eastAsia="仿宋_GB2312" w:cs="仿宋_GB2312"/>
          <w:color w:val="auto"/>
          <w:spacing w:val="2"/>
          <w:sz w:val="32"/>
          <w:szCs w:val="32"/>
          <w:lang w:val="en-US" w:eastAsia="zh-CN"/>
        </w:rPr>
        <w:t>0266</w:t>
      </w:r>
      <w:r>
        <w:rPr>
          <w:rFonts w:hint="eastAsia" w:ascii="仿宋_GB2312" w:hAnsi="仿宋_GB2312" w:eastAsia="仿宋_GB2312" w:cs="仿宋_GB2312"/>
          <w:color w:val="auto"/>
          <w:spacing w:val="2"/>
          <w:sz w:val="32"/>
          <w:szCs w:val="32"/>
        </w:rPr>
        <w:t>元。济宁市围绕打造淮海经济区中心城市、建设制造强市目标，坚持稳中求进工作总基调，坚定不移贯彻新发展理念，经济社会各项事业发展不断迈上新台阶</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实现新跨越。</w:t>
      </w:r>
    </w:p>
    <w:p>
      <w:pPr>
        <w:pageBreakBefore w:val="0"/>
        <w:kinsoku/>
        <w:wordWrap/>
        <w:overflowPunct/>
        <w:topLinePunct w:val="0"/>
        <w:autoSpaceDE/>
        <w:autoSpaceDN/>
        <w:bidi w:val="0"/>
        <w:adjustRightInd w:val="0"/>
        <w:snapToGrid w:val="0"/>
        <w:spacing w:line="360" w:lineRule="auto"/>
        <w:ind w:firstLine="650" w:firstLineChars="200"/>
        <w:textAlignment w:val="auto"/>
        <w:rPr>
          <w:rFonts w:hint="default" w:ascii="仿宋_GB2312" w:hAnsi="仿宋_GB2312" w:eastAsia="仿宋_GB2312" w:cs="仿宋_GB2312"/>
          <w:color w:val="auto"/>
          <w:spacing w:val="2"/>
          <w:sz w:val="32"/>
          <w:szCs w:val="32"/>
          <w:lang w:val="en-US" w:eastAsia="zh-CN"/>
        </w:rPr>
      </w:pPr>
      <w:r>
        <w:rPr>
          <w:rFonts w:hint="eastAsia" w:ascii="仿宋_GB2312" w:hAnsi="仿宋_GB2312" w:eastAsia="仿宋_GB2312" w:cs="仿宋_GB2312"/>
          <w:b/>
          <w:bCs/>
          <w:color w:val="auto"/>
          <w:spacing w:val="2"/>
          <w:sz w:val="32"/>
          <w:szCs w:val="32"/>
        </w:rPr>
        <w:t>3、</w:t>
      </w:r>
      <w:r>
        <w:rPr>
          <w:rFonts w:hint="eastAsia" w:ascii="仿宋_GB2312" w:hAnsi="仿宋_GB2312" w:eastAsia="仿宋_GB2312" w:cs="仿宋_GB2312"/>
          <w:b/>
          <w:bCs/>
          <w:color w:val="auto"/>
          <w:spacing w:val="2"/>
          <w:sz w:val="32"/>
          <w:szCs w:val="32"/>
          <w:lang w:val="en-US" w:eastAsia="zh-CN"/>
        </w:rPr>
        <w:t>水利概况</w:t>
      </w:r>
    </w:p>
    <w:p>
      <w:pPr>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济宁市地跨黄淮两大流域，境内拥有我国北方最大的淡水湖——南四湖，黄河、大汶河沿境</w:t>
      </w:r>
      <w:r>
        <w:rPr>
          <w:rFonts w:hint="eastAsia" w:ascii="仿宋_GB2312" w:hAnsi="仿宋_GB2312" w:eastAsia="仿宋_GB2312" w:cs="仿宋_GB2312"/>
          <w:bCs/>
          <w:color w:val="auto"/>
          <w:sz w:val="32"/>
          <w:szCs w:val="32"/>
          <w:lang w:val="en-US" w:eastAsia="zh-CN"/>
        </w:rPr>
        <w:t>而过</w:t>
      </w:r>
      <w:r>
        <w:rPr>
          <w:rFonts w:hint="eastAsia" w:ascii="仿宋_GB2312" w:hAnsi="仿宋_GB2312" w:eastAsia="仿宋_GB2312" w:cs="仿宋_GB2312"/>
          <w:bCs/>
          <w:color w:val="auto"/>
          <w:sz w:val="32"/>
          <w:szCs w:val="32"/>
        </w:rPr>
        <w:t>，京杭大运河</w:t>
      </w:r>
      <w:r>
        <w:rPr>
          <w:rFonts w:hint="eastAsia" w:ascii="仿宋_GB2312" w:hAnsi="仿宋_GB2312" w:eastAsia="仿宋_GB2312" w:cs="仿宋_GB2312"/>
          <w:bCs/>
          <w:color w:val="auto"/>
          <w:sz w:val="32"/>
          <w:szCs w:val="32"/>
          <w:lang w:val="en-US" w:eastAsia="zh-CN"/>
        </w:rPr>
        <w:t>贯穿南北</w:t>
      </w:r>
      <w:r>
        <w:rPr>
          <w:rFonts w:hint="eastAsia" w:ascii="仿宋_GB2312" w:hAnsi="仿宋_GB2312" w:eastAsia="仿宋_GB2312" w:cs="仿宋_GB2312"/>
          <w:bCs/>
          <w:color w:val="auto"/>
          <w:sz w:val="32"/>
          <w:szCs w:val="32"/>
        </w:rPr>
        <w:t>。拥有泗河、洸府河等流域面积1000km</w:t>
      </w:r>
      <w:r>
        <w:rPr>
          <w:rFonts w:hint="eastAsia" w:ascii="仿宋_GB2312" w:hAnsi="仿宋_GB2312" w:eastAsia="仿宋_GB2312" w:cs="仿宋_GB2312"/>
          <w:bCs/>
          <w:color w:val="auto"/>
          <w:sz w:val="32"/>
          <w:szCs w:val="32"/>
          <w:vertAlign w:val="superscript"/>
        </w:rPr>
        <w:t>2</w:t>
      </w:r>
      <w:r>
        <w:rPr>
          <w:rFonts w:hint="eastAsia" w:ascii="仿宋_GB2312" w:hAnsi="仿宋_GB2312" w:eastAsia="仿宋_GB2312" w:cs="仿宋_GB2312"/>
          <w:bCs/>
          <w:color w:val="auto"/>
          <w:sz w:val="32"/>
          <w:szCs w:val="32"/>
        </w:rPr>
        <w:t>以上的大中型骨干河道12条、流域面积在50km</w:t>
      </w:r>
      <w:r>
        <w:rPr>
          <w:rFonts w:hint="eastAsia" w:ascii="仿宋_GB2312" w:hAnsi="仿宋_GB2312" w:eastAsia="仿宋_GB2312" w:cs="仿宋_GB2312"/>
          <w:bCs/>
          <w:color w:val="auto"/>
          <w:sz w:val="32"/>
          <w:szCs w:val="32"/>
          <w:vertAlign w:val="superscript"/>
        </w:rPr>
        <w:t>2</w:t>
      </w:r>
      <w:r>
        <w:rPr>
          <w:rFonts w:hint="eastAsia" w:ascii="仿宋_GB2312" w:hAnsi="仿宋_GB2312" w:eastAsia="仿宋_GB2312" w:cs="仿宋_GB2312"/>
          <w:bCs/>
          <w:color w:val="auto"/>
          <w:sz w:val="32"/>
          <w:szCs w:val="32"/>
        </w:rPr>
        <w:t>以上的河流117条；先后建成尼山、西苇、贺庄大型水库3座，华村、龙湾套、尹城中型水库3座，小型水库242座，总库容</w:t>
      </w:r>
      <w:r>
        <w:rPr>
          <w:rFonts w:hint="eastAsia" w:ascii="仿宋_GB2312" w:hAnsi="仿宋_GB2312" w:eastAsia="仿宋_GB2312" w:cs="仿宋_GB2312"/>
          <w:bCs/>
          <w:color w:val="auto"/>
          <w:spacing w:val="2"/>
          <w:sz w:val="32"/>
          <w:szCs w:val="32"/>
        </w:rPr>
        <w:t>60321.58</w:t>
      </w:r>
      <w:r>
        <w:rPr>
          <w:rFonts w:hint="eastAsia" w:ascii="仿宋_GB2312" w:hAnsi="仿宋_GB2312" w:eastAsia="仿宋_GB2312" w:cs="仿宋_GB2312"/>
          <w:bCs/>
          <w:color w:val="auto"/>
          <w:sz w:val="32"/>
          <w:szCs w:val="32"/>
        </w:rPr>
        <w:t>万m</w:t>
      </w:r>
      <w:r>
        <w:rPr>
          <w:rFonts w:hint="eastAsia" w:ascii="仿宋_GB2312" w:hAnsi="仿宋_GB2312" w:eastAsia="仿宋_GB2312" w:cs="仿宋_GB2312"/>
          <w:bCs/>
          <w:color w:val="auto"/>
          <w:sz w:val="32"/>
          <w:szCs w:val="32"/>
          <w:vertAlign w:val="superscript"/>
        </w:rPr>
        <w:t>3</w:t>
      </w:r>
      <w:r>
        <w:rPr>
          <w:rFonts w:hint="eastAsia" w:ascii="仿宋_GB2312" w:hAnsi="仿宋_GB2312" w:eastAsia="仿宋_GB2312" w:cs="仿宋_GB2312"/>
          <w:bCs/>
          <w:color w:val="auto"/>
          <w:sz w:val="32"/>
          <w:szCs w:val="32"/>
        </w:rPr>
        <w:t>；建成大中型水闸757座、塘坝1757座、泵站1923座、机电井328307眼、农村集中式供水工程5303处。全市水利工程年供水能力达到29亿m</w:t>
      </w:r>
      <w:r>
        <w:rPr>
          <w:rFonts w:hint="eastAsia" w:ascii="仿宋_GB2312" w:hAnsi="仿宋_GB2312" w:eastAsia="仿宋_GB2312" w:cs="仿宋_GB2312"/>
          <w:bCs/>
          <w:color w:val="auto"/>
          <w:sz w:val="32"/>
          <w:szCs w:val="32"/>
          <w:vertAlign w:val="superscript"/>
        </w:rPr>
        <w:t>3</w:t>
      </w:r>
      <w:r>
        <w:rPr>
          <w:rFonts w:hint="eastAsia" w:ascii="仿宋_GB2312" w:hAnsi="仿宋_GB2312" w:eastAsia="仿宋_GB2312" w:cs="仿宋_GB2312"/>
          <w:bCs/>
          <w:color w:val="auto"/>
          <w:sz w:val="32"/>
          <w:szCs w:val="32"/>
        </w:rPr>
        <w:t>。</w:t>
      </w:r>
    </w:p>
    <w:p>
      <w:pPr>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Cs/>
          <w:color w:val="auto"/>
          <w:spacing w:val="2"/>
          <w:sz w:val="32"/>
          <w:szCs w:val="32"/>
        </w:rPr>
      </w:pPr>
      <w:r>
        <w:rPr>
          <w:rFonts w:hint="eastAsia" w:ascii="仿宋_GB2312" w:hAnsi="仿宋_GB2312" w:eastAsia="仿宋_GB2312" w:cs="仿宋_GB2312"/>
          <w:bCs/>
          <w:color w:val="auto"/>
          <w:sz w:val="32"/>
          <w:szCs w:val="32"/>
        </w:rPr>
        <w:t>济宁市水资源总量为46亿m</w:t>
      </w:r>
      <w:r>
        <w:rPr>
          <w:rFonts w:hint="eastAsia" w:ascii="仿宋_GB2312" w:hAnsi="仿宋_GB2312" w:eastAsia="仿宋_GB2312" w:cs="仿宋_GB2312"/>
          <w:bCs/>
          <w:color w:val="auto"/>
          <w:sz w:val="32"/>
          <w:szCs w:val="32"/>
          <w:vertAlign w:val="superscript"/>
          <w:lang w:val="en-US" w:eastAsia="zh-CN"/>
        </w:rPr>
        <w:t>3</w:t>
      </w:r>
      <w:r>
        <w:rPr>
          <w:rFonts w:hint="eastAsia" w:ascii="仿宋_GB2312" w:hAnsi="仿宋_GB2312" w:eastAsia="仿宋_GB2312" w:cs="仿宋_GB2312"/>
          <w:bCs/>
          <w:color w:val="auto"/>
          <w:sz w:val="32"/>
          <w:szCs w:val="32"/>
        </w:rPr>
        <w:t>，其中地表水32.4亿m</w:t>
      </w:r>
      <w:r>
        <w:rPr>
          <w:rFonts w:hint="eastAsia" w:ascii="仿宋_GB2312" w:hAnsi="仿宋_GB2312" w:eastAsia="仿宋_GB2312" w:cs="仿宋_GB2312"/>
          <w:bCs/>
          <w:color w:val="auto"/>
          <w:sz w:val="32"/>
          <w:szCs w:val="32"/>
          <w:vertAlign w:val="superscript"/>
          <w:lang w:val="en-US" w:eastAsia="zh-CN"/>
        </w:rPr>
        <w:t>3</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地下水17.7亿m</w:t>
      </w:r>
      <w:r>
        <w:rPr>
          <w:rFonts w:hint="eastAsia" w:ascii="仿宋_GB2312" w:hAnsi="仿宋_GB2312" w:eastAsia="仿宋_GB2312" w:cs="仿宋_GB2312"/>
          <w:bCs/>
          <w:color w:val="auto"/>
          <w:sz w:val="32"/>
          <w:szCs w:val="32"/>
          <w:vertAlign w:val="superscript"/>
          <w:lang w:val="en-US" w:eastAsia="zh-CN"/>
        </w:rPr>
        <w:t>3</w:t>
      </w:r>
      <w:r>
        <w:rPr>
          <w:rFonts w:hint="eastAsia" w:ascii="仿宋_GB2312" w:hAnsi="仿宋_GB2312" w:eastAsia="仿宋_GB2312" w:cs="仿宋_GB2312"/>
          <w:bCs/>
          <w:color w:val="auto"/>
          <w:sz w:val="32"/>
          <w:szCs w:val="32"/>
        </w:rPr>
        <w:t>（地表水和地下水重复量4.1亿m</w:t>
      </w:r>
      <w:r>
        <w:rPr>
          <w:rFonts w:hint="eastAsia" w:ascii="仿宋_GB2312" w:hAnsi="仿宋_GB2312" w:eastAsia="仿宋_GB2312" w:cs="仿宋_GB2312"/>
          <w:bCs/>
          <w:color w:val="auto"/>
          <w:sz w:val="32"/>
          <w:szCs w:val="32"/>
          <w:vertAlign w:val="superscript"/>
          <w:lang w:val="en-US" w:eastAsia="zh-CN"/>
        </w:rPr>
        <w:t>3</w:t>
      </w:r>
      <w:r>
        <w:rPr>
          <w:rFonts w:hint="eastAsia" w:ascii="仿宋_GB2312" w:hAnsi="仿宋_GB2312" w:eastAsia="仿宋_GB2312" w:cs="仿宋_GB2312"/>
          <w:bCs/>
          <w:color w:val="auto"/>
          <w:sz w:val="32"/>
          <w:szCs w:val="32"/>
        </w:rPr>
        <w:t>）。</w:t>
      </w:r>
    </w:p>
    <w:p>
      <w:pPr>
        <w:pStyle w:val="5"/>
        <w:pageBreakBefore w:val="0"/>
        <w:kinsoku/>
        <w:wordWrap/>
        <w:overflowPunct/>
        <w:topLinePunct w:val="0"/>
        <w:autoSpaceDE/>
        <w:autoSpaceDN/>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4" w:name="_Toc12268"/>
      <w:r>
        <w:rPr>
          <w:rFonts w:hint="eastAsia" w:ascii="楷体" w:hAnsi="楷体" w:eastAsia="楷体" w:cs="仿宋_GB2312"/>
          <w:color w:val="auto"/>
        </w:rPr>
        <w:t>（二）“十三五”发展成就</w:t>
      </w:r>
      <w:bookmarkEnd w:id="4"/>
    </w:p>
    <w:p>
      <w:pPr>
        <w:pageBreakBefore w:val="0"/>
        <w:kinsoku/>
        <w:wordWrap/>
        <w:overflowPunct/>
        <w:topLinePunct w:val="0"/>
        <w:autoSpaceDE/>
        <w:autoSpaceDN/>
        <w:bidi w:val="0"/>
        <w:adjustRightInd w:val="0"/>
        <w:snapToGrid w:val="0"/>
        <w:spacing w:line="360" w:lineRule="auto"/>
        <w:ind w:firstLine="648" w:firstLineChars="200"/>
        <w:textAlignment w:val="auto"/>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t>“十三五”以来，济宁市认真贯彻落实党的十八大、十九大和十八届、十九届历次全会精神，坚持“节水优先、空间均衡、系统治理、两手发力”的新时期治水方针。按照中央、省、市兴水惠民决策部署，立足济宁市情水情，主动适应经济社会发展新常态，围绕提高水安全保障能力“一大核心”，积极推进水利工程建设与深化改革“两大任务”，切实提升水利基础设施支撑和保障、水生态建设与保护、水利管理和公共服务“三大能力”，大力推进水工程保障、水资源保护、水生态修复、水文化传承、水利信息智慧化“五大体系”建设力度，水利改革发展成效显著。</w:t>
      </w:r>
    </w:p>
    <w:p>
      <w:pPr>
        <w:pageBreakBefore w:val="0"/>
        <w:kinsoku/>
        <w:wordWrap/>
        <w:overflowPunct/>
        <w:topLinePunct w:val="0"/>
        <w:autoSpaceDE/>
        <w:autoSpaceDN/>
        <w:bidi w:val="0"/>
        <w:adjustRightInd w:val="0"/>
        <w:snapToGrid w:val="0"/>
        <w:spacing w:line="360" w:lineRule="auto"/>
        <w:ind w:firstLine="65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pacing w:val="2"/>
          <w:sz w:val="32"/>
          <w:szCs w:val="32"/>
        </w:rPr>
        <w:t>1、防汛抗旱减灾取得重大</w:t>
      </w:r>
      <w:r>
        <w:rPr>
          <w:rFonts w:hint="eastAsia" w:ascii="仿宋_GB2312" w:hAnsi="仿宋_GB2312" w:eastAsia="仿宋_GB2312" w:cs="仿宋_GB2312"/>
          <w:b/>
          <w:color w:val="auto"/>
          <w:spacing w:val="2"/>
          <w:sz w:val="32"/>
          <w:szCs w:val="32"/>
          <w:lang w:val="en-US" w:eastAsia="zh-CN"/>
        </w:rPr>
        <w:t>胜利</w:t>
      </w:r>
      <w:r>
        <w:rPr>
          <w:rFonts w:hint="eastAsia" w:ascii="仿宋_GB2312" w:hAnsi="仿宋_GB2312" w:eastAsia="仿宋_GB2312" w:cs="仿宋_GB2312"/>
          <w:b/>
          <w:color w:val="auto"/>
          <w:spacing w:val="2"/>
          <w:sz w:val="32"/>
          <w:szCs w:val="32"/>
        </w:rPr>
        <w:t>。</w:t>
      </w:r>
      <w:r>
        <w:rPr>
          <w:rFonts w:hint="eastAsia" w:ascii="仿宋_GB2312" w:hAnsi="仿宋_GB2312" w:eastAsia="仿宋_GB2312" w:cs="仿宋_GB2312"/>
          <w:color w:val="auto"/>
          <w:spacing w:val="2"/>
          <w:sz w:val="32"/>
          <w:szCs w:val="32"/>
        </w:rPr>
        <w:t>成功应对了2018年温比亚台风、2019年利奇马台风带来的强降雨和洪涝灾害，最大程度降低了2015年、2016年极端天气造成的干旱损失。2020年统筹协调抢排滨湖地区农田积水，成功排除泗水县龙门山水库、任城区北跃进沟险情。</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十三五</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lang w:val="en-US" w:eastAsia="zh-CN"/>
        </w:rPr>
        <w:t>期间</w:t>
      </w:r>
      <w:r>
        <w:rPr>
          <w:rFonts w:hint="eastAsia" w:ascii="仿宋_GB2312" w:hAnsi="仿宋_GB2312" w:eastAsia="仿宋_GB2312" w:cs="仿宋_GB2312"/>
          <w:color w:val="auto"/>
          <w:spacing w:val="2"/>
          <w:sz w:val="32"/>
          <w:szCs w:val="32"/>
        </w:rPr>
        <w:t>，全市无一河道水库塘坝决口溃坝、无一人</w:t>
      </w:r>
      <w:r>
        <w:rPr>
          <w:rFonts w:hint="eastAsia" w:ascii="仿宋_GB2312" w:hAnsi="仿宋_GB2312" w:eastAsia="仿宋_GB2312" w:cs="仿宋_GB2312"/>
          <w:color w:val="auto"/>
          <w:spacing w:val="2"/>
          <w:sz w:val="32"/>
          <w:szCs w:val="32"/>
          <w:lang w:val="en-US" w:eastAsia="zh-CN"/>
        </w:rPr>
        <w:t>员</w:t>
      </w:r>
      <w:r>
        <w:rPr>
          <w:rFonts w:hint="eastAsia" w:ascii="仿宋_GB2312" w:hAnsi="仿宋_GB2312" w:eastAsia="仿宋_GB2312" w:cs="仿宋_GB2312"/>
          <w:color w:val="auto"/>
          <w:spacing w:val="2"/>
          <w:sz w:val="32"/>
          <w:szCs w:val="32"/>
        </w:rPr>
        <w:t>伤亡，</w:t>
      </w:r>
      <w:r>
        <w:rPr>
          <w:rFonts w:hint="eastAsia" w:ascii="仿宋_GB2312" w:hAnsi="仿宋_GB2312" w:eastAsia="仿宋_GB2312" w:cs="仿宋_GB2312"/>
          <w:color w:val="auto"/>
          <w:spacing w:val="2"/>
          <w:sz w:val="32"/>
          <w:szCs w:val="32"/>
          <w:lang w:val="en-US" w:eastAsia="zh-CN"/>
        </w:rPr>
        <w:t>水旱灾害</w:t>
      </w:r>
      <w:r>
        <w:rPr>
          <w:rFonts w:hint="eastAsia" w:ascii="仿宋_GB2312" w:hAnsi="仿宋_GB2312" w:eastAsia="仿宋_GB2312" w:cs="仿宋_GB2312"/>
          <w:color w:val="auto"/>
          <w:spacing w:val="2"/>
          <w:sz w:val="32"/>
          <w:szCs w:val="32"/>
        </w:rPr>
        <w:t>损失降到最低，人民群众生命财产安全得到有效保障。南四湖整体防洪标准基本达到50年一遇，骨干河道防洪标准基本达到20年一遇，大型水库防洪标准达到1000年一遇，中型水库达到200～500年一遇。解决了350.5万人农村居民饮水安全问题，全市有效灌溉面积达到713万亩；全市节水灌溉面积达到527万亩，高效节水灌溉面积达382万亩，农</w:t>
      </w:r>
      <w:r>
        <w:rPr>
          <w:rFonts w:hint="eastAsia" w:ascii="仿宋_GB2312" w:hAnsi="仿宋_GB2312" w:eastAsia="仿宋_GB2312" w:cs="仿宋_GB2312"/>
          <w:bCs/>
          <w:color w:val="auto"/>
          <w:sz w:val="32"/>
          <w:szCs w:val="32"/>
        </w:rPr>
        <w:t>田灌溉水有效利用系数提高到0.6</w:t>
      </w:r>
      <w:r>
        <w:rPr>
          <w:rFonts w:hint="eastAsia" w:ascii="仿宋_GB2312" w:hAnsi="仿宋_GB2312" w:eastAsia="仿宋_GB2312" w:cs="仿宋_GB2312"/>
          <w:bCs/>
          <w:color w:val="auto"/>
          <w:sz w:val="32"/>
          <w:szCs w:val="32"/>
          <w:lang w:val="en-US" w:eastAsia="zh-CN"/>
        </w:rPr>
        <w:t>6</w:t>
      </w:r>
      <w:r>
        <w:rPr>
          <w:rFonts w:hint="eastAsia" w:ascii="仿宋_GB2312" w:hAnsi="仿宋_GB2312" w:eastAsia="仿宋_GB2312" w:cs="仿宋_GB2312"/>
          <w:bCs/>
          <w:color w:val="auto"/>
          <w:sz w:val="32"/>
          <w:szCs w:val="32"/>
        </w:rPr>
        <w:t>以上。有力地维护了社会稳定、经济发展。</w:t>
      </w:r>
    </w:p>
    <w:p>
      <w:pPr>
        <w:pageBreakBefore w:val="0"/>
        <w:kinsoku/>
        <w:wordWrap/>
        <w:overflowPunct/>
        <w:topLinePunct w:val="0"/>
        <w:autoSpaceDE/>
        <w:autoSpaceDN/>
        <w:bidi w:val="0"/>
        <w:adjustRightInd w:val="0"/>
        <w:snapToGrid w:val="0"/>
        <w:spacing w:line="360" w:lineRule="auto"/>
        <w:ind w:firstLine="650" w:firstLineChars="200"/>
        <w:textAlignment w:val="auto"/>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b/>
          <w:color w:val="auto"/>
          <w:spacing w:val="2"/>
          <w:sz w:val="32"/>
          <w:szCs w:val="32"/>
        </w:rPr>
        <w:t>2、重大水利工程建设全面提速。</w:t>
      </w:r>
      <w:r>
        <w:rPr>
          <w:rFonts w:hint="eastAsia" w:ascii="仿宋_GB2312" w:hAnsi="仿宋_GB2312" w:eastAsia="仿宋_GB2312" w:cs="仿宋_GB2312"/>
          <w:color w:val="auto"/>
          <w:spacing w:val="2"/>
          <w:sz w:val="32"/>
          <w:szCs w:val="32"/>
          <w:lang w:val="en-US" w:eastAsia="zh-CN"/>
        </w:rPr>
        <w:t>一是大力推进防洪减灾工程建设。</w:t>
      </w:r>
      <w:r>
        <w:rPr>
          <w:rFonts w:hint="eastAsia" w:ascii="仿宋_GB2312" w:hAnsi="仿宋_GB2312" w:eastAsia="仿宋_GB2312" w:cs="仿宋_GB2312"/>
          <w:color w:val="auto"/>
          <w:spacing w:val="2"/>
          <w:sz w:val="32"/>
          <w:szCs w:val="32"/>
        </w:rPr>
        <w:t>列入国家172项节水供水重大工程的</w:t>
      </w:r>
      <w:r>
        <w:rPr>
          <w:rFonts w:hint="eastAsia" w:ascii="仿宋_GB2312" w:hAnsi="仿宋_GB2312" w:eastAsia="仿宋_GB2312" w:cs="仿宋_GB2312"/>
          <w:color w:val="auto"/>
          <w:spacing w:val="2"/>
          <w:sz w:val="32"/>
          <w:szCs w:val="32"/>
          <w:lang w:val="en-US" w:eastAsia="zh-CN"/>
        </w:rPr>
        <w:t>淮河流域重点平原洼地治理工程、南四湖湖东滞洪区工程顺利实施</w:t>
      </w:r>
      <w:r>
        <w:rPr>
          <w:rFonts w:hint="eastAsia" w:ascii="仿宋_GB2312" w:hAnsi="仿宋_GB2312" w:eastAsia="仿宋_GB2312" w:cs="仿宋_GB2312"/>
          <w:color w:val="auto"/>
          <w:spacing w:val="2"/>
          <w:sz w:val="32"/>
          <w:szCs w:val="32"/>
        </w:rPr>
        <w:t>，南四湖封闭工程前期工作正在加快推进；汶上县大汶河治理工程</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洙赵新河、东鱼河济宁段治理工程等16项河道治理</w:t>
      </w:r>
      <w:r>
        <w:rPr>
          <w:rFonts w:hint="eastAsia" w:ascii="仿宋_GB2312" w:hAnsi="仿宋_GB2312" w:eastAsia="仿宋_GB2312" w:cs="仿宋_GB2312"/>
          <w:color w:val="auto"/>
          <w:spacing w:val="2"/>
          <w:sz w:val="32"/>
          <w:szCs w:val="32"/>
          <w:lang w:val="en-US" w:eastAsia="zh-CN"/>
        </w:rPr>
        <w:t>及泗河泗水大闸、黄阴集</w:t>
      </w:r>
      <w:r>
        <w:rPr>
          <w:rFonts w:hint="eastAsia" w:ascii="仿宋_GB2312" w:hAnsi="仿宋_GB2312" w:eastAsia="仿宋_GB2312" w:cs="仿宋_GB2312"/>
          <w:color w:val="auto"/>
          <w:spacing w:val="2"/>
          <w:sz w:val="32"/>
          <w:szCs w:val="32"/>
        </w:rPr>
        <w:t>闸</w:t>
      </w:r>
      <w:r>
        <w:rPr>
          <w:rFonts w:hint="eastAsia" w:ascii="仿宋_GB2312" w:hAnsi="仿宋_GB2312" w:eastAsia="仿宋_GB2312" w:cs="仿宋_GB2312"/>
          <w:color w:val="auto"/>
          <w:spacing w:val="2"/>
          <w:sz w:val="32"/>
          <w:szCs w:val="32"/>
          <w:lang w:val="en-US" w:eastAsia="zh-CN"/>
        </w:rPr>
        <w:t>、</w:t>
      </w:r>
      <w:r>
        <w:rPr>
          <w:rFonts w:hint="eastAsia" w:ascii="仿宋_GB2312" w:hAnsi="仿宋_GB2312" w:eastAsia="仿宋_GB2312" w:cs="仿宋_GB2312"/>
          <w:color w:val="auto"/>
          <w:spacing w:val="2"/>
          <w:sz w:val="32"/>
          <w:szCs w:val="32"/>
        </w:rPr>
        <w:t>嘉祥县梁山闸等13座</w:t>
      </w:r>
      <w:r>
        <w:rPr>
          <w:rFonts w:hint="eastAsia" w:ascii="仿宋_GB2312" w:hAnsi="仿宋_GB2312" w:eastAsia="仿宋_GB2312" w:cs="仿宋_GB2312"/>
          <w:color w:val="auto"/>
          <w:spacing w:val="2"/>
          <w:sz w:val="32"/>
          <w:szCs w:val="32"/>
          <w:lang w:val="en-US" w:eastAsia="zh-CN"/>
        </w:rPr>
        <w:t>大中型</w:t>
      </w:r>
      <w:r>
        <w:rPr>
          <w:rFonts w:hint="eastAsia" w:ascii="仿宋_GB2312" w:hAnsi="仿宋_GB2312" w:eastAsia="仿宋_GB2312" w:cs="仿宋_GB2312"/>
          <w:color w:val="auto"/>
          <w:spacing w:val="2"/>
          <w:sz w:val="32"/>
          <w:szCs w:val="32"/>
        </w:rPr>
        <w:t>水闸的除险加固工程</w:t>
      </w:r>
      <w:r>
        <w:rPr>
          <w:rFonts w:hint="eastAsia" w:ascii="仿宋_GB2312" w:hAnsi="仿宋_GB2312" w:eastAsia="仿宋_GB2312" w:cs="仿宋_GB2312"/>
          <w:color w:val="auto"/>
          <w:spacing w:val="2"/>
          <w:sz w:val="32"/>
          <w:szCs w:val="32"/>
          <w:lang w:val="en-US" w:eastAsia="zh-CN"/>
        </w:rPr>
        <w:t>全面完成</w:t>
      </w:r>
      <w:r>
        <w:rPr>
          <w:rFonts w:hint="eastAsia" w:ascii="仿宋_GB2312" w:hAnsi="仿宋_GB2312" w:eastAsia="仿宋_GB2312" w:cs="仿宋_GB2312"/>
          <w:color w:val="auto"/>
          <w:spacing w:val="2"/>
          <w:sz w:val="32"/>
          <w:szCs w:val="32"/>
        </w:rPr>
        <w:t>；</w:t>
      </w:r>
      <w:r>
        <w:rPr>
          <w:rFonts w:hint="eastAsia" w:ascii="仿宋_GB2312" w:hAnsi="仿宋_GB2312" w:eastAsia="仿宋_GB2312" w:cs="仿宋_GB2312"/>
          <w:color w:val="auto"/>
          <w:spacing w:val="2"/>
          <w:sz w:val="32"/>
          <w:szCs w:val="32"/>
          <w:lang w:val="en-US" w:eastAsia="zh-CN"/>
        </w:rPr>
        <w:t>实施</w:t>
      </w:r>
      <w:r>
        <w:rPr>
          <w:rFonts w:hint="eastAsia" w:ascii="仿宋_GB2312" w:hAnsi="仿宋_GB2312" w:eastAsia="仿宋_GB2312" w:cs="仿宋_GB2312"/>
          <w:color w:val="auto"/>
          <w:spacing w:val="2"/>
          <w:sz w:val="32"/>
          <w:szCs w:val="32"/>
        </w:rPr>
        <w:t>曲阜市尼山水库、泗水县尹城水库2座大中型水库、54座小型病险水库和607座病险塘坝除险加固</w:t>
      </w:r>
      <w:r>
        <w:rPr>
          <w:rFonts w:hint="eastAsia" w:ascii="仿宋_GB2312" w:hAnsi="仿宋_GB2312" w:eastAsia="仿宋_GB2312" w:cs="仿宋_GB2312"/>
          <w:color w:val="auto"/>
          <w:spacing w:val="2"/>
          <w:sz w:val="32"/>
          <w:szCs w:val="32"/>
          <w:lang w:val="en-US" w:eastAsia="zh-CN"/>
        </w:rPr>
        <w:t>及</w:t>
      </w:r>
      <w:r>
        <w:rPr>
          <w:rFonts w:hint="eastAsia" w:ascii="仿宋_GB2312" w:hAnsi="仿宋_GB2312" w:eastAsia="仿宋_GB2312" w:cs="仿宋_GB2312"/>
          <w:color w:val="auto"/>
          <w:spacing w:val="2"/>
          <w:sz w:val="32"/>
          <w:szCs w:val="32"/>
        </w:rPr>
        <w:t>防汛抗旱补助项目、山洪灾害防治和抗旱应急水源工程，全市防洪体系不断完善。</w:t>
      </w:r>
      <w:r>
        <w:rPr>
          <w:rFonts w:hint="eastAsia" w:ascii="仿宋_GB2312" w:hAnsi="仿宋_GB2312" w:eastAsia="仿宋_GB2312" w:cs="仿宋_GB2312"/>
          <w:color w:val="auto"/>
          <w:spacing w:val="2"/>
          <w:sz w:val="32"/>
          <w:szCs w:val="32"/>
          <w:lang w:val="en-US" w:eastAsia="zh-CN"/>
        </w:rPr>
        <w:t>二是加快实施水资源利用工程建设。全面完成南水北调东线一期配套工程</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贺庄水库增容工程，建成了汶上县中都水库、</w:t>
      </w:r>
      <w:r>
        <w:rPr>
          <w:rFonts w:hint="eastAsia" w:ascii="仿宋_GB2312" w:hAnsi="仿宋_GB2312" w:eastAsia="仿宋_GB2312" w:cs="仿宋_GB2312"/>
          <w:color w:val="auto"/>
          <w:spacing w:val="2"/>
          <w:sz w:val="32"/>
          <w:szCs w:val="32"/>
          <w:lang w:val="en-US" w:eastAsia="zh-CN"/>
        </w:rPr>
        <w:t>鱼台滨湖水库</w:t>
      </w:r>
      <w:r>
        <w:rPr>
          <w:rFonts w:hint="eastAsia" w:ascii="仿宋_GB2312" w:hAnsi="仿宋_GB2312" w:eastAsia="仿宋_GB2312" w:cs="仿宋_GB2312"/>
          <w:color w:val="auto"/>
          <w:spacing w:val="2"/>
          <w:sz w:val="32"/>
          <w:szCs w:val="32"/>
        </w:rPr>
        <w:t>、任城区孟宪洼水库等平原水库；实施了引汶补源、梁山县龟山河、流畅河及陈垓送水干渠、兖州市引泗总干渠及大安沟综合治理工程等水系连通工程；</w:t>
      </w:r>
      <w:r>
        <w:rPr>
          <w:rFonts w:hint="eastAsia" w:ascii="仿宋_GB2312" w:hAnsi="仿宋_GB2312" w:eastAsia="仿宋_GB2312" w:cs="仿宋_GB2312"/>
          <w:color w:val="auto"/>
          <w:spacing w:val="2"/>
          <w:sz w:val="32"/>
          <w:szCs w:val="32"/>
          <w:lang w:val="en-US" w:eastAsia="zh-CN"/>
        </w:rPr>
        <w:t>建设了泗河</w:t>
      </w:r>
      <w:r>
        <w:rPr>
          <w:rFonts w:hint="eastAsia" w:ascii="仿宋_GB2312" w:hAnsi="仿宋_GB2312" w:eastAsia="仿宋_GB2312" w:cs="仿宋_GB2312"/>
          <w:color w:val="auto"/>
          <w:spacing w:val="2"/>
          <w:sz w:val="32"/>
          <w:szCs w:val="32"/>
        </w:rPr>
        <w:t>泗滨、临泗</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lang w:val="en-US" w:eastAsia="zh-CN"/>
        </w:rPr>
        <w:t>陈寨、龙湾店、横河、于庄</w:t>
      </w:r>
      <w:r>
        <w:rPr>
          <w:rFonts w:hint="eastAsia" w:ascii="仿宋_GB2312" w:hAnsi="仿宋_GB2312" w:eastAsia="仿宋_GB2312" w:cs="仿宋_GB2312"/>
          <w:color w:val="auto"/>
          <w:spacing w:val="2"/>
          <w:sz w:val="32"/>
          <w:szCs w:val="32"/>
        </w:rPr>
        <w:t>拦蓄工程</w:t>
      </w:r>
      <w:r>
        <w:rPr>
          <w:rFonts w:hint="eastAsia" w:ascii="仿宋_GB2312" w:hAnsi="仿宋_GB2312" w:eastAsia="仿宋_GB2312" w:cs="仿宋_GB2312"/>
          <w:color w:val="auto"/>
          <w:spacing w:val="2"/>
          <w:sz w:val="32"/>
          <w:szCs w:val="32"/>
          <w:lang w:val="en-US" w:eastAsia="zh-CN"/>
        </w:rPr>
        <w:t>及</w:t>
      </w:r>
      <w:r>
        <w:rPr>
          <w:rFonts w:hint="eastAsia" w:ascii="仿宋_GB2312" w:hAnsi="仿宋_GB2312" w:eastAsia="仿宋_GB2312" w:cs="仿宋_GB2312"/>
          <w:color w:val="auto"/>
          <w:spacing w:val="2"/>
          <w:sz w:val="32"/>
          <w:szCs w:val="32"/>
        </w:rPr>
        <w:t>曲阜市尼山水库调水工程</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lang w:val="en-US" w:eastAsia="zh-CN"/>
        </w:rPr>
        <w:t>三是大力推进农村水利工程建设。</w:t>
      </w:r>
      <w:r>
        <w:rPr>
          <w:rFonts w:hint="eastAsia" w:ascii="仿宋_GB2312" w:hAnsi="仿宋_GB2312" w:eastAsia="仿宋_GB2312" w:cs="仿宋_GB2312"/>
          <w:color w:val="auto"/>
          <w:spacing w:val="2"/>
          <w:sz w:val="32"/>
          <w:szCs w:val="32"/>
        </w:rPr>
        <w:t>全面完成了“十三五”农村饮水安全提升工程任务，</w:t>
      </w:r>
      <w:r>
        <w:rPr>
          <w:rFonts w:hint="default" w:ascii="仿宋_GB2312" w:hAnsi="仿宋_GB2312" w:eastAsia="仿宋_GB2312" w:cs="仿宋_GB2312"/>
          <w:color w:val="auto"/>
          <w:spacing w:val="2"/>
          <w:kern w:val="2"/>
          <w:sz w:val="32"/>
          <w:szCs w:val="32"/>
          <w:lang w:val="en-US" w:eastAsia="zh-CN" w:bidi="ar-SA"/>
        </w:rPr>
        <w:t>全市累计新建水厂42 处，完成改扩建水厂25处、实施城区管网延伸工程8处，涉及受益村庄5302个、受益人口503.6万人，彻底消除了未通水村庄，全市农村自来水普及率达到99%</w:t>
      </w:r>
      <w:r>
        <w:rPr>
          <w:rFonts w:hint="eastAsia" w:ascii="仿宋_GB2312" w:hAnsi="仿宋_GB2312" w:eastAsia="仿宋_GB2312" w:cs="仿宋_GB2312"/>
          <w:color w:val="auto"/>
          <w:spacing w:val="2"/>
          <w:kern w:val="2"/>
          <w:sz w:val="32"/>
          <w:szCs w:val="32"/>
          <w:lang w:val="en-US" w:eastAsia="zh-CN" w:bidi="ar-SA"/>
        </w:rPr>
        <w:t>以上</w:t>
      </w:r>
      <w:r>
        <w:rPr>
          <w:rFonts w:hint="default" w:ascii="仿宋_GB2312" w:hAnsi="仿宋_GB2312" w:eastAsia="仿宋_GB2312" w:cs="仿宋_GB2312"/>
          <w:color w:val="auto"/>
          <w:spacing w:val="2"/>
          <w:kern w:val="2"/>
          <w:sz w:val="32"/>
          <w:szCs w:val="32"/>
          <w:lang w:val="en-US" w:eastAsia="zh-CN" w:bidi="ar-SA"/>
        </w:rPr>
        <w:t>。全面解决了全市80642户贫困群众165542人饮水安全问题，顺利通过国家和省考核评估。</w:t>
      </w:r>
      <w:r>
        <w:rPr>
          <w:rFonts w:hint="eastAsia" w:ascii="仿宋_GB2312" w:hAnsi="仿宋_GB2312" w:eastAsia="仿宋_GB2312" w:cs="仿宋_GB2312"/>
          <w:color w:val="auto"/>
          <w:spacing w:val="2"/>
          <w:sz w:val="32"/>
          <w:szCs w:val="32"/>
        </w:rPr>
        <w:t>大力推进农田水利工程建设，实施完成了梁山县陈垓和国那里2个大型灌区和曲阜市红旗闸、曲阜防山、邹城市湖水东调、金乡县曹庄和万北、泗水县龙湾套和贺庄共7个中型灌区的节水改造项目；实施完成了28批次农田项目县建设。农村水利的发展为改善民生、确保粮食高产稳产发挥了有力地支撑和保障作用。“十三五”时期，全市水利建设完成投资达到2</w:t>
      </w:r>
      <w:r>
        <w:rPr>
          <w:rFonts w:hint="eastAsia" w:ascii="仿宋_GB2312" w:hAnsi="仿宋_GB2312" w:eastAsia="仿宋_GB2312" w:cs="仿宋_GB2312"/>
          <w:color w:val="auto"/>
          <w:spacing w:val="2"/>
          <w:sz w:val="32"/>
          <w:szCs w:val="32"/>
          <w:lang w:val="en-US" w:eastAsia="zh-CN"/>
        </w:rPr>
        <w:t>49.3亿</w:t>
      </w:r>
      <w:r>
        <w:rPr>
          <w:rFonts w:hint="eastAsia" w:ascii="仿宋_GB2312" w:hAnsi="仿宋_GB2312" w:eastAsia="仿宋_GB2312" w:cs="仿宋_GB2312"/>
          <w:color w:val="auto"/>
          <w:spacing w:val="2"/>
          <w:sz w:val="32"/>
          <w:szCs w:val="32"/>
        </w:rPr>
        <w:t>元，年均投资4</w:t>
      </w:r>
      <w:r>
        <w:rPr>
          <w:rFonts w:hint="eastAsia" w:ascii="仿宋_GB2312" w:hAnsi="仿宋_GB2312" w:eastAsia="仿宋_GB2312" w:cs="仿宋_GB2312"/>
          <w:color w:val="auto"/>
          <w:spacing w:val="2"/>
          <w:sz w:val="32"/>
          <w:szCs w:val="32"/>
          <w:lang w:val="en-US" w:eastAsia="zh-CN"/>
        </w:rPr>
        <w:t>9.86</w:t>
      </w:r>
      <w:r>
        <w:rPr>
          <w:rFonts w:hint="eastAsia" w:ascii="仿宋_GB2312" w:hAnsi="仿宋_GB2312" w:eastAsia="仿宋_GB2312" w:cs="仿宋_GB2312"/>
          <w:color w:val="auto"/>
          <w:spacing w:val="2"/>
          <w:sz w:val="32"/>
          <w:szCs w:val="32"/>
        </w:rPr>
        <w:t>亿元，是“十二五”年均投资的1.6</w:t>
      </w:r>
      <w:r>
        <w:rPr>
          <w:rFonts w:hint="eastAsia" w:ascii="仿宋_GB2312" w:hAnsi="仿宋_GB2312" w:eastAsia="仿宋_GB2312" w:cs="仿宋_GB2312"/>
          <w:color w:val="auto"/>
          <w:spacing w:val="2"/>
          <w:sz w:val="32"/>
          <w:szCs w:val="32"/>
          <w:lang w:val="en-US" w:eastAsia="zh-CN"/>
        </w:rPr>
        <w:t>9</w:t>
      </w:r>
      <w:r>
        <w:rPr>
          <w:rFonts w:hint="eastAsia" w:ascii="仿宋_GB2312" w:hAnsi="仿宋_GB2312" w:eastAsia="仿宋_GB2312" w:cs="仿宋_GB2312"/>
          <w:color w:val="auto"/>
          <w:spacing w:val="2"/>
          <w:sz w:val="32"/>
          <w:szCs w:val="32"/>
        </w:rPr>
        <w:t>倍。</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650" w:firstLineChars="200"/>
        <w:jc w:val="both"/>
        <w:textAlignment w:val="auto"/>
        <w:rPr>
          <w:rFonts w:hint="eastAsia" w:ascii="仿宋_GB2312" w:hAnsi="仿宋_GB2312" w:eastAsia="仿宋_GB2312" w:cs="仿宋_GB2312"/>
          <w:color w:val="auto"/>
          <w:spacing w:val="2"/>
          <w:sz w:val="32"/>
          <w:szCs w:val="32"/>
          <w:lang w:val="en-US" w:eastAsia="zh-CN"/>
        </w:rPr>
      </w:pPr>
      <w:r>
        <w:rPr>
          <w:rFonts w:hint="eastAsia" w:ascii="仿宋_GB2312" w:hAnsi="仿宋_GB2312" w:eastAsia="仿宋_GB2312" w:cs="仿宋_GB2312"/>
          <w:b/>
          <w:color w:val="auto"/>
          <w:spacing w:val="2"/>
          <w:sz w:val="32"/>
          <w:szCs w:val="32"/>
        </w:rPr>
        <w:t>3、最严格水资源管理制度深入推进。</w:t>
      </w:r>
      <w:r>
        <w:rPr>
          <w:rFonts w:hint="eastAsia" w:ascii="仿宋_GB2312" w:hAnsi="仿宋_GB2312" w:eastAsia="仿宋_GB2312" w:cs="仿宋_GB2312"/>
          <w:color w:val="auto"/>
          <w:spacing w:val="2"/>
          <w:sz w:val="32"/>
          <w:szCs w:val="32"/>
        </w:rPr>
        <w:t>落实了建设项目水资源论证制度、水功能区划制度，建立了突发水污染事件应急机制，初步形成了水资源保护的制度体系。完善最严格水资源管理制度考核体系，加大考核力度，建立责任追究制度。严格“三条红线”管理，分解下达“三条红线”控制指标，加强计划节约用水，推进节水型社会建设。建设完善水量计量在线监测系统，年取水量5万m</w:t>
      </w:r>
      <w:r>
        <w:rPr>
          <w:rFonts w:hint="eastAsia" w:ascii="仿宋_GB2312" w:hAnsi="仿宋_GB2312" w:eastAsia="仿宋_GB2312" w:cs="仿宋_GB2312"/>
          <w:color w:val="auto"/>
          <w:spacing w:val="2"/>
          <w:sz w:val="32"/>
          <w:szCs w:val="32"/>
          <w:vertAlign w:val="superscript"/>
        </w:rPr>
        <w:t>3</w:t>
      </w:r>
      <w:r>
        <w:rPr>
          <w:rFonts w:hint="eastAsia" w:ascii="仿宋_GB2312" w:hAnsi="仿宋_GB2312" w:eastAsia="仿宋_GB2312" w:cs="仿宋_GB2312"/>
          <w:color w:val="auto"/>
          <w:spacing w:val="2"/>
          <w:sz w:val="32"/>
          <w:szCs w:val="32"/>
        </w:rPr>
        <w:t>以上的取水户远程智能监控计量率达到95%以上。严控用水总量。年用水总量控制在27.27亿m</w:t>
      </w:r>
      <w:r>
        <w:rPr>
          <w:rFonts w:hint="eastAsia" w:ascii="仿宋_GB2312" w:hAnsi="仿宋_GB2312" w:eastAsia="仿宋_GB2312" w:cs="仿宋_GB2312"/>
          <w:color w:val="auto"/>
          <w:spacing w:val="2"/>
          <w:sz w:val="32"/>
          <w:szCs w:val="32"/>
          <w:vertAlign w:val="superscript"/>
        </w:rPr>
        <w:t>3</w:t>
      </w:r>
      <w:r>
        <w:rPr>
          <w:rFonts w:hint="eastAsia" w:ascii="仿宋_GB2312" w:hAnsi="仿宋_GB2312" w:eastAsia="仿宋_GB2312" w:cs="仿宋_GB2312"/>
          <w:color w:val="auto"/>
          <w:spacing w:val="2"/>
          <w:sz w:val="32"/>
          <w:szCs w:val="32"/>
        </w:rPr>
        <w:t>以内；万元GDP用水量、万元工业增加值用水量分别控制在</w:t>
      </w:r>
      <w:r>
        <w:rPr>
          <w:rFonts w:hint="eastAsia" w:ascii="仿宋_GB2312" w:hAnsi="仿宋_GB2312" w:eastAsia="仿宋_GB2312" w:cs="仿宋_GB2312"/>
          <w:color w:val="auto"/>
          <w:spacing w:val="2"/>
          <w:sz w:val="32"/>
          <w:szCs w:val="32"/>
          <w:lang w:val="en-US" w:eastAsia="zh-CN"/>
        </w:rPr>
        <w:t>47.41</w:t>
      </w:r>
      <w:r>
        <w:rPr>
          <w:rFonts w:hint="eastAsia" w:ascii="仿宋_GB2312" w:hAnsi="仿宋_GB2312" w:eastAsia="仿宋_GB2312" w:cs="仿宋_GB2312"/>
          <w:color w:val="auto"/>
          <w:spacing w:val="2"/>
          <w:sz w:val="32"/>
          <w:szCs w:val="32"/>
        </w:rPr>
        <w:t>m</w:t>
      </w:r>
      <w:r>
        <w:rPr>
          <w:rFonts w:hint="eastAsia" w:ascii="仿宋_GB2312" w:hAnsi="仿宋_GB2312" w:eastAsia="仿宋_GB2312" w:cs="仿宋_GB2312"/>
          <w:color w:val="auto"/>
          <w:spacing w:val="2"/>
          <w:sz w:val="32"/>
          <w:szCs w:val="32"/>
          <w:vertAlign w:val="superscript"/>
        </w:rPr>
        <w:t>3</w:t>
      </w:r>
      <w:r>
        <w:rPr>
          <w:rFonts w:hint="eastAsia" w:ascii="仿宋_GB2312" w:hAnsi="仿宋_GB2312" w:eastAsia="仿宋_GB2312" w:cs="仿宋_GB2312"/>
          <w:color w:val="auto"/>
          <w:spacing w:val="2"/>
          <w:sz w:val="32"/>
          <w:szCs w:val="32"/>
        </w:rPr>
        <w:t>、</w:t>
      </w:r>
      <w:r>
        <w:rPr>
          <w:rFonts w:hint="eastAsia" w:ascii="仿宋_GB2312" w:hAnsi="仿宋_GB2312" w:eastAsia="仿宋_GB2312" w:cs="仿宋_GB2312"/>
          <w:color w:val="auto"/>
          <w:spacing w:val="2"/>
          <w:sz w:val="32"/>
          <w:szCs w:val="32"/>
          <w:lang w:val="en-US" w:eastAsia="zh-CN"/>
        </w:rPr>
        <w:t>15.98</w:t>
      </w:r>
      <w:r>
        <w:rPr>
          <w:rFonts w:hint="eastAsia" w:ascii="仿宋_GB2312" w:hAnsi="仿宋_GB2312" w:eastAsia="仿宋_GB2312" w:cs="仿宋_GB2312"/>
          <w:color w:val="auto"/>
          <w:spacing w:val="2"/>
          <w:sz w:val="32"/>
          <w:szCs w:val="32"/>
        </w:rPr>
        <w:t>m</w:t>
      </w:r>
      <w:r>
        <w:rPr>
          <w:rFonts w:hint="eastAsia" w:ascii="仿宋_GB2312" w:hAnsi="仿宋_GB2312" w:eastAsia="仿宋_GB2312" w:cs="仿宋_GB2312"/>
          <w:color w:val="auto"/>
          <w:spacing w:val="2"/>
          <w:sz w:val="32"/>
          <w:szCs w:val="32"/>
          <w:vertAlign w:val="superscript"/>
        </w:rPr>
        <w:t>3</w:t>
      </w:r>
      <w:r>
        <w:rPr>
          <w:rFonts w:hint="eastAsia" w:ascii="仿宋_GB2312" w:hAnsi="仿宋_GB2312" w:eastAsia="仿宋_GB2312" w:cs="仿宋_GB2312"/>
          <w:color w:val="auto"/>
          <w:spacing w:val="2"/>
          <w:sz w:val="32"/>
          <w:szCs w:val="32"/>
        </w:rPr>
        <w:t>。我市成为全省第一批“水资源管理规范化建设示范市”，</w:t>
      </w:r>
      <w:r>
        <w:rPr>
          <w:rFonts w:hint="eastAsia" w:ascii="仿宋_GB2312" w:hAnsi="仿宋_GB2312" w:eastAsia="仿宋_GB2312" w:cs="仿宋_GB2312"/>
          <w:color w:val="auto"/>
          <w:spacing w:val="2"/>
          <w:sz w:val="32"/>
          <w:szCs w:val="32"/>
          <w:lang w:val="en-US" w:eastAsia="zh-CN"/>
        </w:rPr>
        <w:t>成功创建国家节水型城市。大力推进县域节水型社会达标建设，兖州、曲阜、泗水、金乡先后通过水利部复核验收，成功达标，任城、邹城、嘉祥已通过省级评估，2021年水利部复核。全市新增省级节水载体64家、市级节水载体50家。完成市、县两级水利行业节水机关建设，曲阜师范大学成功创建全省第一批节水型高校。严格水资源管理，省对市综合考核水资源节约集约指标获得满分，全社会水资源节约保护意识普遍提高，节水成效显著，基本实现了增产增收不增水，为全市经济社会高质量发展提供了坚强水务支撑。</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650" w:firstLineChars="200"/>
        <w:jc w:val="both"/>
        <w:textAlignment w:val="auto"/>
        <w:rPr>
          <w:rFonts w:hint="eastAsia" w:ascii="仿宋_GB2312" w:hAnsi="仿宋_GB2312" w:eastAsia="仿宋_GB2312" w:cs="仿宋_GB2312"/>
          <w:color w:val="auto"/>
          <w:spacing w:val="2"/>
          <w:sz w:val="32"/>
          <w:szCs w:val="32"/>
          <w:lang w:val="en-US" w:eastAsia="zh-CN"/>
        </w:rPr>
      </w:pPr>
      <w:r>
        <w:rPr>
          <w:rFonts w:hint="eastAsia" w:ascii="仿宋_GB2312" w:hAnsi="仿宋_GB2312" w:eastAsia="仿宋_GB2312" w:cs="仿宋_GB2312"/>
          <w:b/>
          <w:color w:val="auto"/>
          <w:spacing w:val="2"/>
          <w:sz w:val="32"/>
          <w:szCs w:val="32"/>
        </w:rPr>
        <w:t>4、水生态文明建设</w:t>
      </w:r>
      <w:r>
        <w:rPr>
          <w:rFonts w:hint="eastAsia" w:ascii="仿宋_GB2312" w:hAnsi="仿宋_GB2312" w:eastAsia="仿宋_GB2312" w:cs="仿宋_GB2312"/>
          <w:b/>
          <w:color w:val="auto"/>
          <w:spacing w:val="2"/>
          <w:sz w:val="32"/>
          <w:szCs w:val="32"/>
          <w:lang w:val="en-US" w:eastAsia="zh-CN"/>
        </w:rPr>
        <w:t>成效显著</w:t>
      </w:r>
      <w:r>
        <w:rPr>
          <w:rFonts w:hint="eastAsia" w:ascii="仿宋_GB2312" w:hAnsi="仿宋_GB2312" w:eastAsia="仿宋_GB2312" w:cs="仿宋_GB2312"/>
          <w:b/>
          <w:color w:val="auto"/>
          <w:spacing w:val="2"/>
          <w:sz w:val="32"/>
          <w:szCs w:val="32"/>
        </w:rPr>
        <w:t>。</w:t>
      </w:r>
      <w:r>
        <w:rPr>
          <w:rFonts w:hint="eastAsia" w:ascii="仿宋_GB2312" w:hAnsi="仿宋_GB2312" w:eastAsia="仿宋_GB2312" w:cs="仿宋_GB2312"/>
          <w:color w:val="auto"/>
          <w:spacing w:val="2"/>
          <w:sz w:val="32"/>
          <w:szCs w:val="32"/>
        </w:rPr>
        <w:t>加强水质保护和水系生态综合整治。重点推进泗河全流域综合治理开发，</w:t>
      </w:r>
      <w:r>
        <w:rPr>
          <w:rFonts w:hint="eastAsia" w:ascii="仿宋_GB2312" w:hAnsi="仿宋_GB2312" w:eastAsia="仿宋_GB2312" w:cs="仿宋_GB2312"/>
          <w:color w:val="auto"/>
          <w:spacing w:val="2"/>
          <w:sz w:val="32"/>
          <w:szCs w:val="32"/>
          <w:lang w:val="en-US" w:eastAsia="zh-CN"/>
        </w:rPr>
        <w:t>全线防洪标准达到50年一遇，泗河已经成为连接都市区各大板块的防洪安全带、生态景观带和文化旅游带，对于保障流域防洪安全，推动都市区融合发展，改善区域水环境质量、提升社会民生福祉起到了积极作用。</w:t>
      </w:r>
      <w:r>
        <w:rPr>
          <w:rFonts w:hint="eastAsia" w:ascii="仿宋_GB2312" w:hAnsi="仿宋_GB2312" w:eastAsia="仿宋_GB2312" w:cs="仿宋_GB2312"/>
          <w:color w:val="auto"/>
          <w:spacing w:val="2"/>
          <w:sz w:val="32"/>
          <w:szCs w:val="32"/>
        </w:rPr>
        <w:t>金乡县中小河流治理重点县综合整治项目、任城区南跃进沟综合治理、曲阜市沂河、险河、邹城白马河等生态河道治理已完成；实施完成泗水县、邹城市、曲阜市、嘉祥县、汶上县等5县市16项重点水土保持综合治理。稳步推进地下水超采区治理。编制并印发了《济宁市地下水超采区综合整治实施方案》（济政字〔2016〕9号），有超采区的6个县区全部编制完成《地下水超采区综合整治实施方案》</w:t>
      </w:r>
      <w:r>
        <w:rPr>
          <w:rFonts w:hint="eastAsia" w:ascii="仿宋_GB2312" w:hAnsi="仿宋_GB2312" w:eastAsia="仿宋_GB2312" w:cs="仿宋_GB2312"/>
          <w:color w:val="auto"/>
          <w:spacing w:val="2"/>
          <w:sz w:val="32"/>
          <w:szCs w:val="32"/>
          <w:lang w:val="en-US" w:eastAsia="zh-CN"/>
        </w:rPr>
        <w:t>并</w:t>
      </w:r>
      <w:r>
        <w:rPr>
          <w:rFonts w:hint="eastAsia" w:ascii="仿宋_GB2312" w:hAnsi="仿宋_GB2312" w:eastAsia="仿宋_GB2312" w:cs="仿宋_GB2312"/>
          <w:color w:val="auto"/>
          <w:spacing w:val="2"/>
          <w:sz w:val="32"/>
          <w:szCs w:val="32"/>
        </w:rPr>
        <w:t>通过政府（管委会）批复。截止2020年</w:t>
      </w:r>
      <w:r>
        <w:rPr>
          <w:rFonts w:hint="eastAsia" w:ascii="仿宋_GB2312" w:hAnsi="仿宋_GB2312" w:eastAsia="仿宋_GB2312" w:cs="仿宋_GB2312"/>
          <w:color w:val="auto"/>
          <w:spacing w:val="2"/>
          <w:sz w:val="32"/>
          <w:szCs w:val="32"/>
          <w:lang w:val="en-US" w:eastAsia="zh-CN"/>
        </w:rPr>
        <w:t>年底</w:t>
      </w:r>
      <w:r>
        <w:rPr>
          <w:rFonts w:hint="eastAsia" w:ascii="仿宋_GB2312" w:hAnsi="仿宋_GB2312" w:eastAsia="仿宋_GB2312" w:cs="仿宋_GB2312"/>
          <w:color w:val="auto"/>
          <w:spacing w:val="2"/>
          <w:sz w:val="32"/>
          <w:szCs w:val="32"/>
        </w:rPr>
        <w:t>，浅层地下水超</w:t>
      </w:r>
      <w:bookmarkStart w:id="97" w:name="_GoBack"/>
      <w:bookmarkEnd w:id="97"/>
      <w:r>
        <w:rPr>
          <w:rFonts w:hint="eastAsia" w:ascii="仿宋_GB2312" w:hAnsi="仿宋_GB2312" w:eastAsia="仿宋_GB2312" w:cs="仿宋_GB2312"/>
          <w:color w:val="auto"/>
          <w:spacing w:val="2"/>
          <w:sz w:val="32"/>
          <w:szCs w:val="32"/>
        </w:rPr>
        <w:t>采区完成压采</w:t>
      </w:r>
      <w:r>
        <w:rPr>
          <w:rFonts w:hint="eastAsia" w:ascii="仿宋_GB2312" w:hAnsi="仿宋_GB2312" w:eastAsia="仿宋_GB2312" w:cs="仿宋_GB2312"/>
          <w:color w:val="auto"/>
          <w:spacing w:val="2"/>
          <w:sz w:val="32"/>
          <w:szCs w:val="32"/>
          <w:lang w:val="en-US" w:eastAsia="zh-CN"/>
        </w:rPr>
        <w:t>1634.62</w:t>
      </w:r>
      <w:r>
        <w:rPr>
          <w:rFonts w:hint="eastAsia" w:ascii="仿宋_GB2312" w:hAnsi="仿宋_GB2312" w:eastAsia="仿宋_GB2312" w:cs="仿宋_GB2312"/>
          <w:color w:val="auto"/>
          <w:spacing w:val="2"/>
          <w:sz w:val="32"/>
          <w:szCs w:val="32"/>
        </w:rPr>
        <w:t>万m</w:t>
      </w:r>
      <w:r>
        <w:rPr>
          <w:rFonts w:hint="eastAsia" w:ascii="仿宋_GB2312" w:hAnsi="仿宋_GB2312" w:eastAsia="仿宋_GB2312" w:cs="仿宋_GB2312"/>
          <w:color w:val="auto"/>
          <w:spacing w:val="2"/>
          <w:sz w:val="32"/>
          <w:szCs w:val="32"/>
          <w:vertAlign w:val="superscript"/>
        </w:rPr>
        <w:t>3</w:t>
      </w:r>
      <w:r>
        <w:rPr>
          <w:rFonts w:hint="eastAsia" w:ascii="仿宋_GB2312" w:hAnsi="仿宋_GB2312" w:eastAsia="仿宋_GB2312" w:cs="仿宋_GB2312"/>
          <w:color w:val="auto"/>
          <w:spacing w:val="2"/>
          <w:sz w:val="32"/>
          <w:szCs w:val="32"/>
        </w:rPr>
        <w:t>，封填自备井1</w:t>
      </w:r>
      <w:r>
        <w:rPr>
          <w:rFonts w:hint="eastAsia" w:ascii="仿宋_GB2312" w:hAnsi="仿宋_GB2312" w:eastAsia="仿宋_GB2312" w:cs="仿宋_GB2312"/>
          <w:color w:val="auto"/>
          <w:spacing w:val="2"/>
          <w:sz w:val="32"/>
          <w:szCs w:val="32"/>
          <w:lang w:val="en-US" w:eastAsia="zh-CN"/>
        </w:rPr>
        <w:t>5</w:t>
      </w:r>
      <w:r>
        <w:rPr>
          <w:rFonts w:hint="eastAsia" w:ascii="仿宋_GB2312" w:hAnsi="仿宋_GB2312" w:eastAsia="仿宋_GB2312" w:cs="仿宋_GB2312"/>
          <w:color w:val="auto"/>
          <w:spacing w:val="2"/>
          <w:sz w:val="32"/>
          <w:szCs w:val="32"/>
        </w:rPr>
        <w:t>8眼，封存13</w:t>
      </w:r>
      <w:r>
        <w:rPr>
          <w:rFonts w:hint="eastAsia" w:ascii="仿宋_GB2312" w:hAnsi="仿宋_GB2312" w:eastAsia="仿宋_GB2312" w:cs="仿宋_GB2312"/>
          <w:color w:val="auto"/>
          <w:spacing w:val="2"/>
          <w:sz w:val="32"/>
          <w:szCs w:val="32"/>
          <w:lang w:val="en-US" w:eastAsia="zh-CN"/>
        </w:rPr>
        <w:t>9</w:t>
      </w:r>
      <w:r>
        <w:rPr>
          <w:rFonts w:hint="eastAsia" w:ascii="仿宋_GB2312" w:hAnsi="仿宋_GB2312" w:eastAsia="仿宋_GB2312" w:cs="仿宋_GB2312"/>
          <w:color w:val="auto"/>
          <w:spacing w:val="2"/>
          <w:sz w:val="32"/>
          <w:szCs w:val="32"/>
        </w:rPr>
        <w:t>眼；深层地下水超采区完成压采量</w:t>
      </w:r>
      <w:r>
        <w:rPr>
          <w:rFonts w:hint="eastAsia" w:ascii="仿宋_GB2312" w:hAnsi="仿宋_GB2312" w:eastAsia="仿宋_GB2312" w:cs="仿宋_GB2312"/>
          <w:color w:val="auto"/>
          <w:spacing w:val="2"/>
          <w:sz w:val="32"/>
          <w:szCs w:val="32"/>
          <w:lang w:val="en-US" w:eastAsia="zh-CN"/>
        </w:rPr>
        <w:t>2923.67</w:t>
      </w:r>
      <w:r>
        <w:rPr>
          <w:rFonts w:hint="eastAsia" w:ascii="仿宋_GB2312" w:hAnsi="仿宋_GB2312" w:eastAsia="仿宋_GB2312" w:cs="仿宋_GB2312"/>
          <w:color w:val="auto"/>
          <w:spacing w:val="2"/>
          <w:sz w:val="32"/>
          <w:szCs w:val="32"/>
        </w:rPr>
        <w:t>万m</w:t>
      </w:r>
      <w:r>
        <w:rPr>
          <w:rFonts w:hint="eastAsia" w:ascii="仿宋_GB2312" w:hAnsi="仿宋_GB2312" w:eastAsia="仿宋_GB2312" w:cs="仿宋_GB2312"/>
          <w:color w:val="auto"/>
          <w:spacing w:val="2"/>
          <w:sz w:val="32"/>
          <w:szCs w:val="32"/>
          <w:vertAlign w:val="superscript"/>
        </w:rPr>
        <w:t>3</w:t>
      </w:r>
      <w:r>
        <w:rPr>
          <w:rFonts w:hint="eastAsia" w:ascii="仿宋_GB2312" w:hAnsi="仿宋_GB2312" w:eastAsia="仿宋_GB2312" w:cs="仿宋_GB2312"/>
          <w:color w:val="auto"/>
          <w:spacing w:val="2"/>
          <w:sz w:val="32"/>
          <w:szCs w:val="32"/>
        </w:rPr>
        <w:t>，封填自备井</w:t>
      </w:r>
      <w:r>
        <w:rPr>
          <w:rFonts w:hint="eastAsia" w:ascii="仿宋_GB2312" w:hAnsi="仿宋_GB2312" w:eastAsia="仿宋_GB2312" w:cs="仿宋_GB2312"/>
          <w:color w:val="auto"/>
          <w:spacing w:val="2"/>
          <w:sz w:val="32"/>
          <w:szCs w:val="32"/>
          <w:lang w:val="en-US" w:eastAsia="zh-CN"/>
        </w:rPr>
        <w:t>98</w:t>
      </w:r>
      <w:r>
        <w:rPr>
          <w:rFonts w:hint="eastAsia" w:ascii="仿宋_GB2312" w:hAnsi="仿宋_GB2312" w:eastAsia="仿宋_GB2312" w:cs="仿宋_GB2312"/>
          <w:color w:val="auto"/>
          <w:spacing w:val="2"/>
          <w:sz w:val="32"/>
          <w:szCs w:val="32"/>
        </w:rPr>
        <w:t>眼，封存</w:t>
      </w:r>
      <w:r>
        <w:rPr>
          <w:rFonts w:hint="eastAsia" w:ascii="仿宋_GB2312" w:hAnsi="仿宋_GB2312" w:eastAsia="仿宋_GB2312" w:cs="仿宋_GB2312"/>
          <w:color w:val="auto"/>
          <w:spacing w:val="2"/>
          <w:sz w:val="32"/>
          <w:szCs w:val="32"/>
          <w:lang w:val="en-US" w:eastAsia="zh-CN"/>
        </w:rPr>
        <w:t>94</w:t>
      </w:r>
      <w:r>
        <w:rPr>
          <w:rFonts w:hint="eastAsia" w:ascii="仿宋_GB2312" w:hAnsi="仿宋_GB2312" w:eastAsia="仿宋_GB2312" w:cs="仿宋_GB2312"/>
          <w:color w:val="auto"/>
          <w:spacing w:val="2"/>
          <w:sz w:val="32"/>
          <w:szCs w:val="32"/>
        </w:rPr>
        <w:t>眼，超额完成压采任务。全市建有国家级水利风景区7处、省级</w:t>
      </w:r>
      <w:r>
        <w:rPr>
          <w:rFonts w:hint="eastAsia" w:ascii="仿宋_GB2312" w:hAnsi="仿宋_GB2312" w:eastAsia="仿宋_GB2312" w:cs="仿宋_GB2312"/>
          <w:color w:val="auto"/>
          <w:spacing w:val="2"/>
          <w:sz w:val="32"/>
          <w:szCs w:val="32"/>
          <w:lang w:val="en-US" w:eastAsia="zh-CN"/>
        </w:rPr>
        <w:t>20</w:t>
      </w:r>
      <w:r>
        <w:rPr>
          <w:rFonts w:hint="eastAsia" w:ascii="仿宋_GB2312" w:hAnsi="仿宋_GB2312" w:eastAsia="仿宋_GB2312" w:cs="仿宋_GB2312"/>
          <w:color w:val="auto"/>
          <w:spacing w:val="2"/>
          <w:sz w:val="32"/>
          <w:szCs w:val="32"/>
        </w:rPr>
        <w:t>处。</w:t>
      </w:r>
      <w:r>
        <w:rPr>
          <w:rFonts w:hint="eastAsia" w:ascii="仿宋_GB2312" w:hAnsi="仿宋_GB2312" w:eastAsia="仿宋_GB2312" w:cs="仿宋_GB2312"/>
          <w:color w:val="auto"/>
          <w:spacing w:val="2"/>
          <w:sz w:val="32"/>
          <w:szCs w:val="32"/>
          <w:lang w:val="en-US" w:eastAsia="zh-CN"/>
        </w:rPr>
        <w:t>成功创建6条省级美丽示范河湖，新增省级水利风景区3个。</w:t>
      </w:r>
      <w:r>
        <w:rPr>
          <w:rFonts w:hint="eastAsia" w:ascii="仿宋_GB2312" w:hAnsi="仿宋_GB2312" w:eastAsia="仿宋_GB2312" w:cs="仿宋_GB2312"/>
          <w:color w:val="auto"/>
          <w:spacing w:val="2"/>
          <w:sz w:val="32"/>
          <w:szCs w:val="32"/>
        </w:rPr>
        <w:t>新增水土流失治理面积</w:t>
      </w:r>
      <w:r>
        <w:rPr>
          <w:rFonts w:hint="eastAsia" w:ascii="仿宋_GB2312" w:hAnsi="仿宋_GB2312" w:eastAsia="仿宋_GB2312" w:cs="仿宋_GB2312"/>
          <w:color w:val="auto"/>
          <w:spacing w:val="2"/>
          <w:sz w:val="32"/>
          <w:szCs w:val="32"/>
          <w:lang w:val="en-US" w:eastAsia="zh-CN"/>
        </w:rPr>
        <w:t>332</w:t>
      </w:r>
      <w:r>
        <w:rPr>
          <w:rFonts w:hint="eastAsia" w:ascii="仿宋_GB2312" w:hAnsi="仿宋_GB2312" w:eastAsia="仿宋_GB2312" w:cs="仿宋_GB2312"/>
          <w:color w:val="auto"/>
          <w:spacing w:val="2"/>
          <w:sz w:val="32"/>
          <w:szCs w:val="32"/>
        </w:rPr>
        <w:t>km</w:t>
      </w:r>
      <w:r>
        <w:rPr>
          <w:rFonts w:hint="eastAsia" w:ascii="仿宋_GB2312" w:hAnsi="仿宋_GB2312" w:eastAsia="仿宋_GB2312" w:cs="仿宋_GB2312"/>
          <w:color w:val="auto"/>
          <w:spacing w:val="2"/>
          <w:sz w:val="32"/>
          <w:szCs w:val="32"/>
          <w:vertAlign w:val="superscript"/>
        </w:rPr>
        <w:t>2</w:t>
      </w:r>
      <w:r>
        <w:rPr>
          <w:rFonts w:hint="eastAsia" w:ascii="仿宋_GB2312" w:hAnsi="仿宋_GB2312" w:eastAsia="仿宋_GB2312" w:cs="仿宋_GB2312"/>
          <w:color w:val="auto"/>
          <w:spacing w:val="2"/>
          <w:sz w:val="32"/>
          <w:szCs w:val="32"/>
          <w:lang w:val="en-US" w:eastAsia="zh-CN"/>
        </w:rPr>
        <w:t>，水土保持违法违规项目查处工作做法被水利部推广宣传。农村生活污水治理任务顺利完成，共治理行政村庄2984个，新增污水处理能力1.3万吨/日，经验做法在全省推广。加强城市生活污水处理，新增污水处理能力7万吨/日。完成城市黑臭水体整治目标，小洸河、小府河通过省级“长制久清”阶段评估。</w:t>
      </w:r>
    </w:p>
    <w:p>
      <w:pPr>
        <w:pStyle w:val="2"/>
        <w:pageBreakBefore w:val="0"/>
        <w:kinsoku/>
        <w:wordWrap/>
        <w:overflowPunct/>
        <w:topLinePunct w:val="0"/>
        <w:autoSpaceDE/>
        <w:autoSpaceDN/>
        <w:bidi w:val="0"/>
        <w:adjustRightInd w:val="0"/>
        <w:snapToGrid w:val="0"/>
        <w:spacing w:line="360" w:lineRule="auto"/>
        <w:ind w:firstLine="65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pacing w:val="2"/>
          <w:sz w:val="32"/>
          <w:szCs w:val="32"/>
        </w:rPr>
        <w:t>5、重点流域水利改革取得积极进展。</w:t>
      </w:r>
      <w:r>
        <w:rPr>
          <w:rFonts w:hint="eastAsia" w:ascii="仿宋_GB2312" w:hAnsi="仿宋_GB2312" w:eastAsia="仿宋_GB2312" w:cs="仿宋_GB2312"/>
          <w:color w:val="auto"/>
          <w:spacing w:val="2"/>
          <w:sz w:val="32"/>
          <w:szCs w:val="32"/>
          <w:lang w:val="en-US" w:eastAsia="zh-CN"/>
        </w:rPr>
        <w:t>一是</w:t>
      </w:r>
      <w:r>
        <w:rPr>
          <w:rFonts w:hint="eastAsia" w:ascii="仿宋_GB2312" w:hAnsi="仿宋_GB2312" w:eastAsia="仿宋_GB2312" w:cs="仿宋_GB2312"/>
          <w:color w:val="auto"/>
          <w:spacing w:val="2"/>
          <w:sz w:val="32"/>
          <w:szCs w:val="32"/>
        </w:rPr>
        <w:t>大力推进水行政审批制度改革</w:t>
      </w:r>
      <w:r>
        <w:rPr>
          <w:rFonts w:hint="eastAsia" w:ascii="仿宋_GB2312" w:hAnsi="仿宋_GB2312" w:eastAsia="仿宋_GB2312" w:cs="仿宋_GB2312"/>
          <w:color w:val="auto"/>
          <w:spacing w:val="2"/>
          <w:sz w:val="32"/>
          <w:szCs w:val="32"/>
          <w:lang w:eastAsia="zh-CN"/>
        </w:rPr>
        <w:t>。按照“三集中三到位”的要求，所有涉水行政审批事项集中到济宁市审批大厅办理，不断压减审批时限，</w:t>
      </w:r>
      <w:r>
        <w:rPr>
          <w:rFonts w:hint="eastAsia" w:ascii="仿宋_GB2312" w:hAnsi="仿宋_GB2312" w:eastAsia="仿宋_GB2312" w:cs="仿宋_GB2312"/>
          <w:color w:val="auto"/>
          <w:spacing w:val="2"/>
          <w:sz w:val="32"/>
          <w:szCs w:val="32"/>
        </w:rPr>
        <w:t>优化审批流程</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进一步取消和下放行政审批事项，</w:t>
      </w:r>
      <w:r>
        <w:rPr>
          <w:rFonts w:hint="eastAsia" w:ascii="仿宋_GB2312" w:hAnsi="仿宋_GB2312" w:eastAsia="仿宋_GB2312" w:cs="仿宋_GB2312"/>
          <w:color w:val="auto"/>
          <w:spacing w:val="2"/>
          <w:sz w:val="32"/>
          <w:szCs w:val="32"/>
          <w:lang w:eastAsia="zh-CN"/>
        </w:rPr>
        <w:t>认真推行“市县同权”，</w:t>
      </w:r>
      <w:r>
        <w:rPr>
          <w:rFonts w:hint="eastAsia" w:ascii="仿宋_GB2312" w:hAnsi="仿宋_GB2312" w:eastAsia="仿宋_GB2312" w:cs="仿宋_GB2312"/>
          <w:color w:val="auto"/>
          <w:spacing w:val="2"/>
          <w:sz w:val="32"/>
          <w:szCs w:val="32"/>
        </w:rPr>
        <w:t>提高审批效率</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尤其是2019年济宁行政审批服务局成立后，迅速完成</w:t>
      </w:r>
      <w:r>
        <w:rPr>
          <w:rFonts w:hint="eastAsia" w:ascii="仿宋_GB2312" w:hAnsi="仿宋_GB2312" w:eastAsia="仿宋_GB2312" w:cs="仿宋_GB2312"/>
          <w:color w:val="auto"/>
          <w:spacing w:val="2"/>
          <w:sz w:val="32"/>
          <w:szCs w:val="32"/>
          <w:lang w:eastAsia="zh-CN"/>
        </w:rPr>
        <w:t>了</w:t>
      </w:r>
      <w:r>
        <w:rPr>
          <w:rFonts w:hint="eastAsia" w:ascii="仿宋_GB2312" w:hAnsi="仿宋_GB2312" w:eastAsia="仿宋_GB2312" w:cs="仿宋_GB2312"/>
          <w:color w:val="auto"/>
          <w:spacing w:val="2"/>
          <w:sz w:val="32"/>
          <w:szCs w:val="32"/>
        </w:rPr>
        <w:t>审批事项的集中划转，大大提高</w:t>
      </w:r>
      <w:r>
        <w:rPr>
          <w:rFonts w:hint="eastAsia" w:ascii="仿宋_GB2312" w:hAnsi="仿宋_GB2312" w:eastAsia="仿宋_GB2312" w:cs="仿宋_GB2312"/>
          <w:color w:val="auto"/>
          <w:spacing w:val="2"/>
          <w:sz w:val="32"/>
          <w:szCs w:val="32"/>
          <w:lang w:val="en-US" w:eastAsia="zh-CN"/>
        </w:rPr>
        <w:t>了为民服务效率。二是深化国有水利工程建设管理与运行管理体制改革</w:t>
      </w:r>
      <w:r>
        <w:rPr>
          <w:rFonts w:hint="eastAsia" w:ascii="仿宋_GB2312" w:hAnsi="仿宋_GB2312" w:eastAsia="仿宋_GB2312" w:cs="仿宋_GB2312"/>
          <w:color w:val="auto"/>
          <w:spacing w:val="2"/>
          <w:sz w:val="32"/>
          <w:szCs w:val="32"/>
        </w:rPr>
        <w:t>。积极推行水利工程代建制、设计施工总承包制。推行国有水利工程规范化和物业化管理，探索通过政府购买服务的方式由专业化队伍承担工程维修养护，培育并规范维修养护市场，逐步实现管养分离。</w:t>
      </w:r>
      <w:r>
        <w:rPr>
          <w:rFonts w:hint="eastAsia" w:ascii="仿宋_GB2312" w:hAnsi="仿宋_GB2312" w:eastAsia="仿宋_GB2312" w:cs="仿宋_GB2312"/>
          <w:color w:val="auto"/>
          <w:spacing w:val="2"/>
          <w:sz w:val="32"/>
          <w:szCs w:val="32"/>
          <w:lang w:val="en-US" w:eastAsia="zh-CN"/>
        </w:rPr>
        <w:t>三是</w:t>
      </w:r>
      <w:r>
        <w:rPr>
          <w:rFonts w:hint="eastAsia" w:ascii="仿宋_GB2312" w:hAnsi="仿宋_GB2312" w:eastAsia="仿宋_GB2312" w:cs="仿宋_GB2312"/>
          <w:color w:val="auto"/>
          <w:spacing w:val="2"/>
          <w:sz w:val="32"/>
          <w:szCs w:val="32"/>
        </w:rPr>
        <w:t>深化水利投融资机制改革。</w:t>
      </w:r>
      <w:r>
        <w:rPr>
          <w:rFonts w:hint="eastAsia" w:ascii="仿宋_GB2312" w:hAnsi="仿宋_GB2312" w:eastAsia="仿宋_GB2312" w:cs="仿宋_GB2312"/>
          <w:color w:val="auto"/>
          <w:sz w:val="32"/>
          <w:szCs w:val="32"/>
        </w:rPr>
        <w:t>积极发展投融资模式，济宁市引汶补源水系连通工程、泗河综合开发等融资30.1亿元。</w:t>
      </w:r>
      <w:r>
        <w:rPr>
          <w:rFonts w:hint="eastAsia" w:ascii="仿宋_GB2312" w:hAnsi="仿宋_GB2312" w:eastAsia="仿宋_GB2312" w:cs="仿宋_GB2312"/>
          <w:color w:val="auto"/>
          <w:sz w:val="32"/>
          <w:szCs w:val="32"/>
          <w:lang w:val="en-US" w:eastAsia="zh-CN"/>
        </w:rPr>
        <w:t>四是</w:t>
      </w:r>
      <w:r>
        <w:rPr>
          <w:rFonts w:hint="eastAsia" w:ascii="仿宋_GB2312" w:hAnsi="仿宋_GB2312" w:eastAsia="仿宋_GB2312" w:cs="仿宋_GB2312"/>
          <w:color w:val="auto"/>
          <w:spacing w:val="2"/>
          <w:sz w:val="32"/>
          <w:szCs w:val="32"/>
        </w:rPr>
        <w:t>深化水价形成机制改革。着力健全农业</w:t>
      </w:r>
      <w:r>
        <w:rPr>
          <w:rFonts w:hint="eastAsia" w:ascii="仿宋_GB2312" w:hAnsi="仿宋_GB2312" w:eastAsia="仿宋_GB2312" w:cs="仿宋_GB2312"/>
          <w:color w:val="auto"/>
          <w:sz w:val="32"/>
          <w:szCs w:val="32"/>
        </w:rPr>
        <w:t>水价形成机制，建立农业初始水权制度和农业节水激励机制，创新农业用水管理方式。经逐步探索实施，已取得初步成效并在全市范围全面铺开。</w:t>
      </w:r>
      <w:r>
        <w:rPr>
          <w:rFonts w:hint="eastAsia" w:ascii="仿宋_GB2312" w:hAnsi="仿宋_GB2312" w:eastAsia="仿宋_GB2312" w:cs="仿宋_GB2312"/>
          <w:color w:val="auto"/>
          <w:sz w:val="32"/>
          <w:szCs w:val="32"/>
          <w:lang w:val="en-US" w:eastAsia="zh-CN"/>
        </w:rPr>
        <w:t>五是</w:t>
      </w:r>
      <w:r>
        <w:rPr>
          <w:rFonts w:hint="eastAsia" w:ascii="仿宋_GB2312" w:hAnsi="仿宋_GB2312" w:eastAsia="仿宋_GB2312" w:cs="仿宋_GB2312"/>
          <w:color w:val="auto"/>
          <w:sz w:val="32"/>
          <w:szCs w:val="32"/>
        </w:rPr>
        <w:t>创新水利科技体制机制。围绕增强科技创新活力，重点健全完善水利科技队伍建设，促进科技资源整合。</w:t>
      </w:r>
      <w:r>
        <w:rPr>
          <w:rFonts w:hint="eastAsia" w:ascii="仿宋_GB2312" w:hAnsi="仿宋_GB2312" w:eastAsia="仿宋_GB2312" w:cs="仿宋_GB2312"/>
          <w:color w:val="auto"/>
          <w:sz w:val="32"/>
          <w:szCs w:val="32"/>
          <w:lang w:val="en-US" w:eastAsia="zh-CN"/>
        </w:rPr>
        <w:t>六是</w:t>
      </w:r>
      <w:r>
        <w:rPr>
          <w:rFonts w:hint="eastAsia" w:ascii="仿宋_GB2312" w:hAnsi="仿宋_GB2312" w:eastAsia="仿宋_GB2312" w:cs="仿宋_GB2312"/>
          <w:color w:val="auto"/>
          <w:sz w:val="32"/>
          <w:szCs w:val="32"/>
        </w:rPr>
        <w:t>创新引进人才、培养人才、重用人才措施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十三五期间，济宁水务系统引进各类人才79人，其中招录</w:t>
      </w:r>
      <w:r>
        <w:rPr>
          <w:rStyle w:val="22"/>
          <w:rFonts w:hint="eastAsia" w:ascii="仿宋_GB2312" w:hAnsi="仿宋_GB2312" w:eastAsia="仿宋_GB2312" w:cs="仿宋_GB2312"/>
          <w:b w:val="0"/>
          <w:color w:val="auto"/>
          <w:sz w:val="32"/>
          <w:szCs w:val="32"/>
        </w:rPr>
        <w:t>“优才计划”人才11名，</w:t>
      </w:r>
      <w:r>
        <w:rPr>
          <w:rFonts w:hint="eastAsia" w:ascii="仿宋_GB2312" w:hAnsi="仿宋_GB2312" w:eastAsia="仿宋_GB2312" w:cs="仿宋_GB2312"/>
          <w:color w:val="auto"/>
          <w:sz w:val="32"/>
          <w:szCs w:val="32"/>
        </w:rPr>
        <w:t>选拔交流干部79人，选派26人进行基层服务工作。</w:t>
      </w:r>
      <w:r>
        <w:rPr>
          <w:rFonts w:hint="eastAsia" w:ascii="仿宋_GB2312" w:hAnsi="仿宋_GB2312" w:eastAsia="仿宋_GB2312" w:cs="仿宋_GB2312"/>
          <w:color w:val="auto"/>
          <w:sz w:val="32"/>
          <w:szCs w:val="32"/>
          <w:lang w:val="en-US" w:eastAsia="zh-CN"/>
        </w:rPr>
        <w:t>七是</w:t>
      </w:r>
      <w:r>
        <w:rPr>
          <w:rFonts w:hint="eastAsia" w:ascii="仿宋_GB2312" w:hAnsi="仿宋_GB2312" w:eastAsia="仿宋_GB2312" w:cs="仿宋_GB2312"/>
          <w:color w:val="auto"/>
          <w:sz w:val="32"/>
          <w:szCs w:val="32"/>
        </w:rPr>
        <w:t>积极探索水权制度改革。作为全省水权制度改革的试点市，完成了《济宁市水权改革实施方案》，通过省水利厅评估。完成尼山水库工程水权试点改革方案、西苇水库、龙湾套水库水权制度建设，兖州区作为水权改革试点县，在全区域范围内推行水权确权登记试点工作。</w:t>
      </w:r>
    </w:p>
    <w:p>
      <w:pPr>
        <w:pStyle w:val="2"/>
        <w:pageBreakBefore w:val="0"/>
        <w:kinsoku/>
        <w:wordWrap/>
        <w:overflowPunct/>
        <w:topLinePunct w:val="0"/>
        <w:autoSpaceDE/>
        <w:autoSpaceDN/>
        <w:bidi w:val="0"/>
        <w:adjustRightInd w:val="0"/>
        <w:snapToGrid w:val="0"/>
        <w:spacing w:line="360" w:lineRule="auto"/>
        <w:ind w:firstLine="651"/>
        <w:textAlignment w:val="auto"/>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b/>
          <w:color w:val="auto"/>
          <w:sz w:val="32"/>
          <w:szCs w:val="32"/>
        </w:rPr>
        <w:t>6、依法治水管水能力得到加强。</w:t>
      </w:r>
      <w:r>
        <w:rPr>
          <w:rFonts w:hint="eastAsia" w:ascii="仿宋_GB2312" w:hAnsi="仿宋_GB2312" w:eastAsia="仿宋_GB2312" w:cs="仿宋_GB2312"/>
          <w:color w:val="auto"/>
          <w:spacing w:val="2"/>
          <w:sz w:val="32"/>
          <w:szCs w:val="32"/>
        </w:rPr>
        <w:t>制定了《济宁市水功能区管理办法》《济宁市泗河保护管理条例》《济宁市小水库管理办法》</w:t>
      </w:r>
      <w:r>
        <w:rPr>
          <w:rFonts w:hint="eastAsia" w:ascii="仿宋_GB2312" w:hAnsi="仿宋_GB2312" w:eastAsia="仿宋_GB2312" w:cs="仿宋_GB2312"/>
          <w:color w:val="auto"/>
          <w:sz w:val="32"/>
          <w:szCs w:val="32"/>
        </w:rPr>
        <w:t>《济宁市河长制工作市级验收办法》《济宁市河长制工作市级考核办法》《济宁市河长制工作问责办法（试行）》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济宁市水土保持管理办法</w:t>
      </w:r>
      <w:r>
        <w:rPr>
          <w:rFonts w:hint="eastAsia" w:ascii="仿宋_GB2312" w:hAnsi="仿宋_GB2312" w:eastAsia="仿宋_GB2312" w:cs="仿宋_GB2312"/>
          <w:color w:val="auto"/>
          <w:sz w:val="32"/>
          <w:szCs w:val="32"/>
          <w:lang w:eastAsia="zh-CN"/>
        </w:rPr>
        <w:t>》《济宁市城市河道管理办法》</w:t>
      </w:r>
      <w:r>
        <w:rPr>
          <w:rFonts w:hint="eastAsia" w:ascii="仿宋_GB2312" w:hAnsi="仿宋_GB2312" w:eastAsia="仿宋_GB2312" w:cs="仿宋_GB2312"/>
          <w:color w:val="auto"/>
          <w:sz w:val="32"/>
          <w:szCs w:val="32"/>
        </w:rPr>
        <w:t>等，出台了济宁市河长制工作市级督察督办制度等规范性文件，水利政策法规体系进一步完善。整合涉水事务执法</w:t>
      </w:r>
      <w:r>
        <w:rPr>
          <w:rFonts w:hint="eastAsia" w:ascii="仿宋_GB2312" w:hAnsi="仿宋_GB2312" w:eastAsia="仿宋_GB2312" w:cs="仿宋_GB2312"/>
          <w:color w:val="auto"/>
          <w:spacing w:val="2"/>
          <w:sz w:val="32"/>
          <w:szCs w:val="32"/>
        </w:rPr>
        <w:t>队伍，进一步健全水行政执法机构，初步形成了覆盖城乡的水务综合执法体系；建立了与环保、城管、农业等部门执法协调工作机制。水利规划体系不断完善，市政府先后批复《济宁市泗河河道防洪专项规划》</w:t>
      </w:r>
      <w:r>
        <w:rPr>
          <w:rFonts w:hint="eastAsia" w:ascii="仿宋_GB2312" w:hAnsi="仿宋_GB2312" w:eastAsia="仿宋_GB2312" w:cs="仿宋_GB2312"/>
          <w:color w:val="auto"/>
          <w:sz w:val="32"/>
          <w:szCs w:val="32"/>
        </w:rPr>
        <w:t>《泗河流域水资源利用及保护规划》</w:t>
      </w:r>
      <w:r>
        <w:rPr>
          <w:rFonts w:hint="eastAsia" w:ascii="仿宋_GB2312" w:hAnsi="仿宋_GB2312" w:eastAsia="仿宋_GB2312" w:cs="仿宋_GB2312"/>
          <w:color w:val="auto"/>
          <w:spacing w:val="2"/>
          <w:sz w:val="32"/>
          <w:szCs w:val="32"/>
        </w:rPr>
        <w:t>《济宁市水安全保障规划》</w:t>
      </w:r>
      <w:r>
        <w:rPr>
          <w:rFonts w:hint="eastAsia" w:ascii="仿宋_GB2312" w:hAnsi="仿宋_GB2312" w:eastAsia="仿宋_GB2312" w:cs="仿宋_GB2312"/>
          <w:color w:val="auto"/>
          <w:sz w:val="32"/>
          <w:szCs w:val="32"/>
        </w:rPr>
        <w:t>《济宁市水土保持规划（2018-2030年）》</w:t>
      </w:r>
      <w:r>
        <w:rPr>
          <w:rFonts w:hint="eastAsia" w:ascii="仿宋_GB2312" w:hAnsi="仿宋_GB2312" w:eastAsia="仿宋_GB2312" w:cs="仿宋_GB2312"/>
          <w:color w:val="auto"/>
          <w:spacing w:val="2"/>
          <w:sz w:val="32"/>
          <w:szCs w:val="32"/>
        </w:rPr>
        <w:t>等一批重要规划。</w:t>
      </w:r>
    </w:p>
    <w:p>
      <w:pPr>
        <w:pStyle w:val="18"/>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leftChars="0" w:firstLine="642"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color w:val="auto"/>
          <w:kern w:val="2"/>
          <w:sz w:val="32"/>
          <w:szCs w:val="32"/>
          <w:lang w:val="en-US" w:eastAsia="zh-CN" w:bidi="ar-SA"/>
        </w:rPr>
        <w:t>7、水利服务社会和科技创新能力显著提升。</w:t>
      </w:r>
      <w:r>
        <w:rPr>
          <w:rFonts w:hint="eastAsia" w:ascii="仿宋_GB2312" w:hAnsi="仿宋_GB2312" w:eastAsia="仿宋_GB2312" w:cs="仿宋_GB2312"/>
          <w:b w:val="0"/>
          <w:bCs/>
          <w:color w:val="auto"/>
          <w:spacing w:val="2"/>
          <w:sz w:val="32"/>
          <w:szCs w:val="32"/>
          <w:lang w:val="en-US" w:eastAsia="zh-CN"/>
        </w:rPr>
        <w:t>一是</w:t>
      </w:r>
      <w:r>
        <w:rPr>
          <w:rFonts w:hint="eastAsia" w:ascii="仿宋_GB2312" w:hAnsi="仿宋_GB2312" w:eastAsia="仿宋_GB2312" w:cs="仿宋_GB2312"/>
          <w:b w:val="0"/>
          <w:bCs/>
          <w:color w:val="auto"/>
          <w:spacing w:val="2"/>
          <w:sz w:val="32"/>
          <w:szCs w:val="32"/>
        </w:rPr>
        <w:t>大力推进水务信息化工程建设。对防汛抗旱指挥部办公室系统提质升级，实现济宁市防汛办与山东省防总办、各县市区防办以及与市防汛抗旱指挥部成员单位之间的传真群发及电话值班功能。建立了山洪灾害水情交换系统，在邹城、曲阜、泗水三个县市建立了雨量、水位监测站，为山洪灾害预警、处置提供了决策依据。完善了济宁市城区水文信息自动测报系统。依托移动运营商网络，扩展和完善了水利移动互联网应用，提高了办公效率。编制了《济宁市水利局河长制信息管理平台系统建设方案》，依托济宁市政府电子政务云平台和省水利厅数据中心云平台基础设施资源，建设完成河长制信息化工作中的平台建设、数据对接、考核监督等基本内容。</w:t>
      </w:r>
      <w:r>
        <w:rPr>
          <w:rFonts w:hint="eastAsia" w:ascii="仿宋_GB2312" w:hAnsi="仿宋_GB2312" w:eastAsia="仿宋_GB2312" w:cs="仿宋_GB2312"/>
          <w:b w:val="0"/>
          <w:bCs/>
          <w:color w:val="auto"/>
          <w:spacing w:val="2"/>
          <w:sz w:val="32"/>
          <w:szCs w:val="32"/>
          <w:lang w:val="en-US" w:eastAsia="zh-CN"/>
        </w:rPr>
        <w:t>二是</w:t>
      </w:r>
      <w:r>
        <w:rPr>
          <w:rFonts w:hint="eastAsia" w:ascii="仿宋_GB2312" w:hAnsi="仿宋_GB2312" w:eastAsia="仿宋_GB2312" w:cs="仿宋_GB2312"/>
          <w:b w:val="0"/>
          <w:bCs/>
          <w:color w:val="auto"/>
          <w:spacing w:val="2"/>
          <w:sz w:val="32"/>
          <w:szCs w:val="32"/>
        </w:rPr>
        <w:t>强化河湖水域管理。编制完成全市223条河湖“一河（湖）一策”方案和市级重要河道划界确权方案，按照方案强推水利工程划界确权。积极全面推行河湖长制度，成立了济宁市河长制办公室，建立了市、县、乡、村四级河长体系，共落实6187名河长，实现了全市各类水域河长制管理“全覆盖”。</w:t>
      </w:r>
      <w:r>
        <w:rPr>
          <w:rFonts w:hint="eastAsia" w:ascii="仿宋_GB2312" w:hAnsi="仿宋_GB2312" w:eastAsia="仿宋_GB2312" w:cs="仿宋_GB2312"/>
          <w:b w:val="0"/>
          <w:bCs/>
          <w:color w:val="auto"/>
          <w:spacing w:val="2"/>
          <w:sz w:val="32"/>
          <w:szCs w:val="32"/>
          <w:lang w:val="en-US" w:eastAsia="zh-CN"/>
        </w:rPr>
        <w:t>三是</w:t>
      </w:r>
      <w:r>
        <w:rPr>
          <w:rFonts w:hint="eastAsia" w:ascii="仿宋_GB2312" w:hAnsi="仿宋_GB2312" w:eastAsia="仿宋_GB2312" w:cs="仿宋_GB2312"/>
          <w:b w:val="0"/>
          <w:bCs/>
          <w:color w:val="auto"/>
          <w:spacing w:val="2"/>
          <w:sz w:val="32"/>
          <w:szCs w:val="32"/>
        </w:rPr>
        <w:t>加强防汛抗旱管理体系建设。</w:t>
      </w:r>
      <w:r>
        <w:rPr>
          <w:rFonts w:hint="eastAsia" w:ascii="仿宋_GB2312" w:hAnsi="仿宋_GB2312" w:eastAsia="仿宋_GB2312" w:cs="仿宋_GB2312"/>
          <w:b w:val="0"/>
          <w:bCs/>
          <w:color w:val="auto"/>
          <w:sz w:val="32"/>
          <w:szCs w:val="32"/>
        </w:rPr>
        <w:t>坚持防汛抗旱并举，依法防控，科学防控，综合防控，努力实现由控制洪水向洪水管理转变，由单一抗旱向全面抗旱转变。</w:t>
      </w:r>
      <w:r>
        <w:rPr>
          <w:rFonts w:hint="eastAsia" w:ascii="仿宋_GB2312" w:hAnsi="仿宋_GB2312" w:eastAsia="仿宋_GB2312" w:cs="仿宋_GB2312"/>
          <w:b w:val="0"/>
          <w:bCs/>
          <w:color w:val="auto"/>
          <w:sz w:val="32"/>
          <w:szCs w:val="32"/>
          <w:lang w:val="en-US" w:eastAsia="zh-CN"/>
        </w:rPr>
        <w:t>建立完善</w:t>
      </w:r>
      <w:r>
        <w:rPr>
          <w:rFonts w:hint="eastAsia" w:ascii="仿宋_GB2312" w:hAnsi="仿宋_GB2312" w:eastAsia="仿宋_GB2312" w:cs="仿宋_GB2312"/>
          <w:b w:val="0"/>
          <w:bCs/>
          <w:color w:val="auto"/>
          <w:sz w:val="32"/>
          <w:szCs w:val="32"/>
        </w:rPr>
        <w:t>水旱灾害防御工程体系、组织指挥体系、技术责任制体系、防洪预案体系。</w:t>
      </w:r>
      <w:r>
        <w:rPr>
          <w:rFonts w:hint="eastAsia" w:ascii="仿宋_GB2312" w:hAnsi="仿宋_GB2312" w:eastAsia="仿宋_GB2312" w:cs="仿宋_GB2312"/>
          <w:b w:val="0"/>
          <w:bCs/>
          <w:color w:val="auto"/>
          <w:spacing w:val="2"/>
          <w:sz w:val="32"/>
          <w:szCs w:val="32"/>
        </w:rPr>
        <w:t>东部山区240座小水库落实了行政、技术、巡查“三个责任人”和监测预报设施、调度运用方案、抢险应急预案“三个重点环节”。健全水旱灾害防御预警及响应机制，建立山洪灾害预警信息发布机制，减少水旱灾害损失。强化预案预警管理</w:t>
      </w:r>
      <w:r>
        <w:rPr>
          <w:rFonts w:hint="eastAsia" w:ascii="仿宋_GB2312" w:hAnsi="仿宋_GB2312" w:eastAsia="仿宋_GB2312" w:cs="仿宋_GB2312"/>
          <w:b w:val="0"/>
          <w:bCs/>
          <w:color w:val="auto"/>
          <w:spacing w:val="2"/>
          <w:sz w:val="32"/>
          <w:szCs w:val="32"/>
          <w:lang w:eastAsia="zh-CN"/>
        </w:rPr>
        <w:t>，</w:t>
      </w:r>
      <w:r>
        <w:rPr>
          <w:rFonts w:hint="eastAsia" w:ascii="仿宋_GB2312" w:hAnsi="仿宋_GB2312" w:eastAsia="仿宋_GB2312" w:cs="仿宋_GB2312"/>
          <w:b w:val="0"/>
          <w:bCs/>
          <w:color w:val="auto"/>
          <w:spacing w:val="2"/>
          <w:sz w:val="32"/>
          <w:szCs w:val="32"/>
        </w:rPr>
        <w:t>修订完善市内重点河湖、水库防御洪水和调度方案，完善群众转移安置方案</w:t>
      </w:r>
      <w:r>
        <w:rPr>
          <w:rFonts w:hint="eastAsia" w:ascii="仿宋_GB2312" w:hAnsi="仿宋_GB2312" w:eastAsia="仿宋_GB2312" w:cs="仿宋_GB2312"/>
          <w:b w:val="0"/>
          <w:bCs/>
          <w:color w:val="auto"/>
          <w:spacing w:val="2"/>
          <w:sz w:val="32"/>
          <w:szCs w:val="32"/>
          <w:lang w:eastAsia="zh-CN"/>
        </w:rPr>
        <w:t>，</w:t>
      </w:r>
      <w:r>
        <w:rPr>
          <w:rFonts w:hint="eastAsia" w:ascii="仿宋_GB2312" w:hAnsi="仿宋_GB2312" w:eastAsia="仿宋_GB2312" w:cs="仿宋_GB2312"/>
          <w:b w:val="0"/>
          <w:bCs/>
          <w:color w:val="auto"/>
          <w:spacing w:val="2"/>
          <w:sz w:val="32"/>
          <w:szCs w:val="32"/>
        </w:rPr>
        <w:t>完善特大干旱和连续干旱年份抗旱应急调水机制，提高抗旱应急管理能力。</w:t>
      </w:r>
      <w:r>
        <w:rPr>
          <w:rFonts w:hint="eastAsia" w:ascii="仿宋_GB2312" w:hAnsi="仿宋_GB2312" w:eastAsia="仿宋_GB2312" w:cs="仿宋_GB2312"/>
          <w:b w:val="0"/>
          <w:bCs/>
          <w:color w:val="auto"/>
          <w:spacing w:val="2"/>
          <w:sz w:val="32"/>
          <w:szCs w:val="32"/>
          <w:lang w:val="en-US" w:eastAsia="zh-CN"/>
        </w:rPr>
        <w:t>四是</w:t>
      </w:r>
      <w:r>
        <w:rPr>
          <w:rFonts w:hint="eastAsia" w:ascii="仿宋_GB2312" w:hAnsi="仿宋_GB2312" w:eastAsia="仿宋_GB2312" w:cs="仿宋_GB2312"/>
          <w:b w:val="0"/>
          <w:bCs/>
          <w:color w:val="auto"/>
          <w:spacing w:val="2"/>
          <w:sz w:val="32"/>
          <w:szCs w:val="32"/>
        </w:rPr>
        <w:t>强化水利建设市场监管。推行水利工程电子招标，完善水利工程交易平台，持续开展好建设领域“打非治违”专项行动，完善水利建设市场主体信用记录，推动信用信息应用。</w:t>
      </w:r>
      <w:r>
        <w:rPr>
          <w:rFonts w:hint="eastAsia" w:ascii="仿宋_GB2312" w:hAnsi="仿宋_GB2312" w:eastAsia="仿宋_GB2312" w:cs="仿宋_GB2312"/>
          <w:b w:val="0"/>
          <w:bCs/>
          <w:color w:val="auto"/>
          <w:spacing w:val="2"/>
          <w:sz w:val="32"/>
          <w:szCs w:val="32"/>
          <w:lang w:val="en-US" w:eastAsia="zh-CN"/>
        </w:rPr>
        <w:t>五是</w:t>
      </w:r>
      <w:r>
        <w:rPr>
          <w:rFonts w:hint="eastAsia" w:ascii="仿宋_GB2312" w:hAnsi="仿宋_GB2312" w:eastAsia="仿宋_GB2312" w:cs="仿宋_GB2312"/>
          <w:b w:val="0"/>
          <w:bCs/>
          <w:color w:val="auto"/>
          <w:sz w:val="32"/>
          <w:szCs w:val="32"/>
        </w:rPr>
        <w:t>强化水土保持预防监督。</w:t>
      </w:r>
      <w:r>
        <w:rPr>
          <w:rFonts w:hint="eastAsia" w:ascii="仿宋_GB2312" w:hAnsi="仿宋_GB2312" w:eastAsia="仿宋_GB2312" w:cs="仿宋_GB2312"/>
          <w:b w:val="0"/>
          <w:bCs/>
          <w:color w:val="auto"/>
          <w:sz w:val="32"/>
          <w:szCs w:val="32"/>
          <w:lang w:val="en-US" w:eastAsia="zh-CN"/>
        </w:rPr>
        <w:t>出台了</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val="en-US" w:eastAsia="zh-CN"/>
        </w:rPr>
        <w:t>济宁市水土保持管理办法</w:t>
      </w:r>
      <w:r>
        <w:rPr>
          <w:rFonts w:hint="eastAsia" w:ascii="仿宋_GB2312" w:hAnsi="仿宋_GB2312" w:eastAsia="仿宋_GB2312" w:cs="仿宋_GB2312"/>
          <w:b w:val="0"/>
          <w:bCs/>
          <w:color w:val="auto"/>
          <w:sz w:val="32"/>
          <w:szCs w:val="32"/>
        </w:rPr>
        <w:t>》，依法划定水土流失重点预防区和重点治理区，实行水土保持方案限批制度，落实地方政府水土保持目标责任制和考核制度。加强水土保持方案审批、监督检查及水土保持设施验收工作。推行水土保持“三同时”制度，严格控制</w:t>
      </w:r>
      <w:r>
        <w:rPr>
          <w:rFonts w:hint="eastAsia" w:ascii="仿宋_GB2312" w:hAnsi="仿宋_GB2312" w:eastAsia="仿宋_GB2312" w:cs="仿宋_GB2312"/>
          <w:b w:val="0"/>
          <w:bCs/>
          <w:color w:val="auto"/>
          <w:sz w:val="32"/>
          <w:szCs w:val="32"/>
          <w:lang w:val="en-US" w:eastAsia="zh-CN"/>
        </w:rPr>
        <w:t>人为</w:t>
      </w:r>
      <w:r>
        <w:rPr>
          <w:rFonts w:hint="eastAsia" w:ascii="仿宋_GB2312" w:hAnsi="仿宋_GB2312" w:eastAsia="仿宋_GB2312" w:cs="仿宋_GB2312"/>
          <w:b w:val="0"/>
          <w:bCs/>
          <w:color w:val="auto"/>
          <w:sz w:val="32"/>
          <w:szCs w:val="32"/>
        </w:rPr>
        <w:t>水土流失。简化水土保持方案审批流程，缩减审批时间，强化事前、事中、事后</w:t>
      </w:r>
      <w:r>
        <w:rPr>
          <w:rFonts w:hint="eastAsia" w:ascii="仿宋_GB2312" w:hAnsi="仿宋_GB2312" w:eastAsia="仿宋_GB2312" w:cs="仿宋_GB2312"/>
          <w:b w:val="0"/>
          <w:bCs/>
          <w:color w:val="auto"/>
          <w:sz w:val="32"/>
          <w:szCs w:val="32"/>
          <w:lang w:val="en-US" w:eastAsia="zh-CN"/>
        </w:rPr>
        <w:t>监管</w:t>
      </w:r>
      <w:r>
        <w:rPr>
          <w:rFonts w:hint="eastAsia" w:ascii="仿宋_GB2312" w:hAnsi="仿宋_GB2312" w:eastAsia="仿宋_GB2312" w:cs="仿宋_GB2312"/>
          <w:b w:val="0"/>
          <w:bCs/>
          <w:color w:val="auto"/>
          <w:sz w:val="32"/>
          <w:szCs w:val="32"/>
        </w:rPr>
        <w:t>工作。</w:t>
      </w:r>
      <w:r>
        <w:rPr>
          <w:rFonts w:hint="eastAsia" w:ascii="仿宋_GB2312" w:hAnsi="仿宋_GB2312" w:eastAsia="仿宋_GB2312" w:cs="仿宋_GB2312"/>
          <w:b w:val="0"/>
          <w:bCs/>
          <w:color w:val="auto"/>
          <w:sz w:val="32"/>
          <w:szCs w:val="32"/>
          <w:lang w:val="en-US" w:eastAsia="zh-CN"/>
        </w:rPr>
        <w:t>六是</w:t>
      </w:r>
      <w:r>
        <w:rPr>
          <w:rFonts w:hint="eastAsia" w:ascii="仿宋_GB2312" w:hAnsi="仿宋_GB2312" w:eastAsia="仿宋_GB2312" w:cs="仿宋_GB2312"/>
          <w:b w:val="0"/>
          <w:bCs/>
          <w:color w:val="auto"/>
          <w:sz w:val="32"/>
          <w:szCs w:val="32"/>
        </w:rPr>
        <w:t>强化水库移民后期扶持管理。进一步理顺水利移民管理体制，探索完善大中型水库移民后期扶持方式、人口增减核查、后期扶持规划及扶持项目审批方式，稳步推进避险解困试点工作。调整水库移民扶持资金方向，重点用于避险解困、精准扶贫、美丽移民村建设和移民增收等项目建设。抓好移民贫困村管理，按照精准扶贫的要求开展扶贫帮扶工作。</w:t>
      </w:r>
    </w:p>
    <w:p>
      <w:pPr>
        <w:spacing w:line="360" w:lineRule="auto"/>
        <w:jc w:val="center"/>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32"/>
          <w:szCs w:val="32"/>
        </w:rPr>
        <w:t>济宁市水利发展“十三五”规划主要指标完成情况</w:t>
      </w:r>
    </w:p>
    <w:tbl>
      <w:tblPr>
        <w:tblStyle w:val="20"/>
        <w:tblpPr w:leftFromText="180" w:rightFromText="180" w:vertAnchor="text" w:horzAnchor="page" w:tblpX="1588" w:tblpY="150"/>
        <w:tblOverlap w:val="never"/>
        <w:tblW w:w="8316" w:type="dxa"/>
        <w:jc w:val="center"/>
        <w:tblLayout w:type="fixed"/>
        <w:tblCellMar>
          <w:top w:w="0" w:type="dxa"/>
          <w:left w:w="0" w:type="dxa"/>
          <w:bottom w:w="0" w:type="dxa"/>
          <w:right w:w="0" w:type="dxa"/>
        </w:tblCellMar>
      </w:tblPr>
      <w:tblGrid>
        <w:gridCol w:w="918"/>
        <w:gridCol w:w="4914"/>
        <w:gridCol w:w="1299"/>
        <w:gridCol w:w="1185"/>
      </w:tblGrid>
      <w:tr>
        <w:tblPrEx>
          <w:tblCellMar>
            <w:top w:w="0" w:type="dxa"/>
            <w:left w:w="0" w:type="dxa"/>
            <w:bottom w:w="0" w:type="dxa"/>
            <w:right w:w="0" w:type="dxa"/>
          </w:tblCellMar>
        </w:tblPrEx>
        <w:trPr>
          <w:trHeight w:val="454" w:hRule="exact"/>
          <w:jc w:val="center"/>
        </w:trPr>
        <w:tc>
          <w:tcPr>
            <w:tcW w:w="918" w:type="dxa"/>
            <w:vMerge w:val="restart"/>
            <w:tcBorders>
              <w:top w:val="single" w:color="auto" w:sz="4" w:space="0"/>
              <w:left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序 号</w:t>
            </w:r>
          </w:p>
        </w:tc>
        <w:tc>
          <w:tcPr>
            <w:tcW w:w="4914" w:type="dxa"/>
            <w:vMerge w:val="restart"/>
            <w:tcBorders>
              <w:top w:val="single" w:color="auto" w:sz="4" w:space="0"/>
              <w:left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24"/>
                <w:sz w:val="28"/>
                <w:szCs w:val="28"/>
              </w:rPr>
              <w:t>指 标</w:t>
            </w:r>
          </w:p>
        </w:tc>
        <w:tc>
          <w:tcPr>
            <w:tcW w:w="2484"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指标完成情况</w:t>
            </w:r>
          </w:p>
        </w:tc>
      </w:tr>
      <w:tr>
        <w:tblPrEx>
          <w:tblCellMar>
            <w:top w:w="0" w:type="dxa"/>
            <w:left w:w="0" w:type="dxa"/>
            <w:bottom w:w="0" w:type="dxa"/>
            <w:right w:w="0" w:type="dxa"/>
          </w:tblCellMar>
        </w:tblPrEx>
        <w:trPr>
          <w:trHeight w:val="454" w:hRule="exact"/>
          <w:jc w:val="center"/>
        </w:trPr>
        <w:tc>
          <w:tcPr>
            <w:tcW w:w="918" w:type="dxa"/>
            <w:vMerge w:val="continue"/>
            <w:tcBorders>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p>
        </w:tc>
        <w:tc>
          <w:tcPr>
            <w:tcW w:w="4914" w:type="dxa"/>
            <w:vMerge w:val="continue"/>
            <w:tcBorders>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0"/>
                <w:sz w:val="28"/>
                <w:szCs w:val="28"/>
              </w:rPr>
            </w:pPr>
          </w:p>
        </w:tc>
        <w:tc>
          <w:tcPr>
            <w:tcW w:w="12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规划指标</w:t>
            </w:r>
          </w:p>
        </w:tc>
        <w:tc>
          <w:tcPr>
            <w:tcW w:w="11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完成情况</w:t>
            </w:r>
          </w:p>
        </w:tc>
      </w:tr>
      <w:tr>
        <w:tblPrEx>
          <w:tblCellMar>
            <w:top w:w="0" w:type="dxa"/>
            <w:left w:w="0" w:type="dxa"/>
            <w:bottom w:w="0" w:type="dxa"/>
            <w:right w:w="0" w:type="dxa"/>
          </w:tblCellMar>
        </w:tblPrEx>
        <w:trPr>
          <w:trHeight w:val="454" w:hRule="exac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1</w:t>
            </w:r>
          </w:p>
        </w:tc>
        <w:tc>
          <w:tcPr>
            <w:tcW w:w="491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农村自来水普及率（%）</w:t>
            </w:r>
          </w:p>
        </w:tc>
        <w:tc>
          <w:tcPr>
            <w:tcW w:w="12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99</w:t>
            </w:r>
          </w:p>
        </w:tc>
        <w:tc>
          <w:tcPr>
            <w:tcW w:w="11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99</w:t>
            </w:r>
          </w:p>
        </w:tc>
      </w:tr>
      <w:tr>
        <w:tblPrEx>
          <w:tblCellMar>
            <w:top w:w="0" w:type="dxa"/>
            <w:left w:w="0" w:type="dxa"/>
            <w:bottom w:w="0" w:type="dxa"/>
            <w:right w:w="0" w:type="dxa"/>
          </w:tblCellMar>
        </w:tblPrEx>
        <w:trPr>
          <w:trHeight w:val="454" w:hRule="exac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2</w:t>
            </w:r>
          </w:p>
        </w:tc>
        <w:tc>
          <w:tcPr>
            <w:tcW w:w="491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textAlignment w:val="center"/>
              <w:rPr>
                <w:rFonts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24"/>
                <w:sz w:val="28"/>
                <w:szCs w:val="28"/>
              </w:rPr>
              <w:t>用水总量控制（亿m</w:t>
            </w:r>
            <w:r>
              <w:rPr>
                <w:rFonts w:hint="eastAsia" w:ascii="仿宋_GB2312" w:hAnsi="仿宋_GB2312" w:eastAsia="仿宋_GB2312" w:cs="仿宋_GB2312"/>
                <w:color w:val="auto"/>
                <w:kern w:val="24"/>
                <w:sz w:val="28"/>
                <w:szCs w:val="28"/>
                <w:vertAlign w:val="superscript"/>
              </w:rPr>
              <w:t>3</w:t>
            </w:r>
            <w:r>
              <w:rPr>
                <w:rFonts w:hint="eastAsia" w:ascii="仿宋_GB2312" w:hAnsi="仿宋_GB2312" w:eastAsia="仿宋_GB2312" w:cs="仿宋_GB2312"/>
                <w:color w:val="auto"/>
                <w:kern w:val="24"/>
                <w:sz w:val="28"/>
                <w:szCs w:val="28"/>
              </w:rPr>
              <w:t>）</w:t>
            </w:r>
          </w:p>
        </w:tc>
        <w:tc>
          <w:tcPr>
            <w:tcW w:w="12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〔27.27〕</w:t>
            </w:r>
          </w:p>
        </w:tc>
        <w:tc>
          <w:tcPr>
            <w:tcW w:w="11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textAlignment w:val="center"/>
              <w:rPr>
                <w:rFonts w:hint="default"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lang w:val="en-US" w:eastAsia="zh-CN"/>
              </w:rPr>
              <w:t>[21.31]</w:t>
            </w:r>
          </w:p>
        </w:tc>
      </w:tr>
      <w:tr>
        <w:tblPrEx>
          <w:tblCellMar>
            <w:top w:w="0" w:type="dxa"/>
            <w:left w:w="0" w:type="dxa"/>
            <w:bottom w:w="0" w:type="dxa"/>
            <w:right w:w="0" w:type="dxa"/>
          </w:tblCellMar>
        </w:tblPrEx>
        <w:trPr>
          <w:trHeight w:val="454" w:hRule="exac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3</w:t>
            </w:r>
          </w:p>
        </w:tc>
        <w:tc>
          <w:tcPr>
            <w:tcW w:w="491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textAlignment w:val="center"/>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新增节水（亿m</w:t>
            </w:r>
            <w:r>
              <w:rPr>
                <w:rFonts w:hint="eastAsia" w:ascii="仿宋_GB2312" w:hAnsi="仿宋_GB2312" w:eastAsia="仿宋_GB2312" w:cs="仿宋_GB2312"/>
                <w:color w:val="auto"/>
                <w:kern w:val="24"/>
                <w:sz w:val="28"/>
                <w:szCs w:val="28"/>
                <w:vertAlign w:val="superscript"/>
              </w:rPr>
              <w:t>3</w:t>
            </w:r>
            <w:r>
              <w:rPr>
                <w:rFonts w:hint="eastAsia" w:ascii="仿宋_GB2312" w:hAnsi="仿宋_GB2312" w:eastAsia="仿宋_GB2312" w:cs="仿宋_GB2312"/>
                <w:color w:val="auto"/>
                <w:kern w:val="24"/>
                <w:sz w:val="28"/>
                <w:szCs w:val="28"/>
              </w:rPr>
              <w:t>）</w:t>
            </w:r>
          </w:p>
        </w:tc>
        <w:tc>
          <w:tcPr>
            <w:tcW w:w="12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1.5</w:t>
            </w:r>
          </w:p>
        </w:tc>
        <w:tc>
          <w:tcPr>
            <w:tcW w:w="11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textAlignment w:val="center"/>
              <w:rPr>
                <w:rFonts w:hint="default"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1.98</w:t>
            </w:r>
          </w:p>
        </w:tc>
      </w:tr>
      <w:tr>
        <w:tblPrEx>
          <w:tblCellMar>
            <w:top w:w="0" w:type="dxa"/>
            <w:left w:w="0" w:type="dxa"/>
            <w:bottom w:w="0" w:type="dxa"/>
            <w:right w:w="0" w:type="dxa"/>
          </w:tblCellMar>
        </w:tblPrEx>
        <w:trPr>
          <w:trHeight w:val="454" w:hRule="exac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4</w:t>
            </w:r>
          </w:p>
        </w:tc>
        <w:tc>
          <w:tcPr>
            <w:tcW w:w="491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textAlignment w:val="center"/>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万元GDP用水量下降（%）</w:t>
            </w:r>
          </w:p>
        </w:tc>
        <w:tc>
          <w:tcPr>
            <w:tcW w:w="12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〔23〕</w:t>
            </w:r>
          </w:p>
        </w:tc>
        <w:tc>
          <w:tcPr>
            <w:tcW w:w="11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textAlignment w:val="center"/>
              <w:rPr>
                <w:rFonts w:hint="default"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lang w:val="en-US" w:eastAsia="zh-CN"/>
              </w:rPr>
              <w:t>[27.31]</w:t>
            </w:r>
          </w:p>
        </w:tc>
      </w:tr>
      <w:tr>
        <w:tblPrEx>
          <w:tblCellMar>
            <w:top w:w="0" w:type="dxa"/>
            <w:left w:w="0" w:type="dxa"/>
            <w:bottom w:w="0" w:type="dxa"/>
            <w:right w:w="0" w:type="dxa"/>
          </w:tblCellMar>
        </w:tblPrEx>
        <w:trPr>
          <w:trHeight w:val="454" w:hRule="exac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5</w:t>
            </w:r>
          </w:p>
        </w:tc>
        <w:tc>
          <w:tcPr>
            <w:tcW w:w="491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textAlignment w:val="center"/>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万元GDP用水量（m</w:t>
            </w:r>
            <w:r>
              <w:rPr>
                <w:rFonts w:hint="eastAsia" w:ascii="仿宋_GB2312" w:hAnsi="仿宋_GB2312" w:eastAsia="仿宋_GB2312" w:cs="仿宋_GB2312"/>
                <w:color w:val="auto"/>
                <w:kern w:val="24"/>
                <w:sz w:val="28"/>
                <w:szCs w:val="28"/>
                <w:vertAlign w:val="superscript"/>
              </w:rPr>
              <w:t>3</w:t>
            </w:r>
            <w:r>
              <w:rPr>
                <w:rFonts w:hint="eastAsia" w:ascii="仿宋_GB2312" w:hAnsi="仿宋_GB2312" w:eastAsia="仿宋_GB2312" w:cs="仿宋_GB2312"/>
                <w:color w:val="auto"/>
                <w:kern w:val="24"/>
                <w:sz w:val="28"/>
                <w:szCs w:val="28"/>
              </w:rPr>
              <w:t>）</w:t>
            </w:r>
          </w:p>
        </w:tc>
        <w:tc>
          <w:tcPr>
            <w:tcW w:w="12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w:t>
            </w:r>
            <w:r>
              <w:rPr>
                <w:rFonts w:hint="eastAsia" w:ascii="仿宋_GB2312" w:hAnsi="仿宋_GB2312" w:eastAsia="仿宋_GB2312" w:cs="仿宋_GB2312"/>
                <w:color w:val="auto"/>
                <w:kern w:val="24"/>
                <w:sz w:val="28"/>
                <w:szCs w:val="28"/>
                <w:lang w:val="en-US" w:eastAsia="zh-CN"/>
              </w:rPr>
              <w:t>50.22</w:t>
            </w:r>
            <w:r>
              <w:rPr>
                <w:rFonts w:hint="eastAsia" w:ascii="仿宋_GB2312" w:hAnsi="仿宋_GB2312" w:eastAsia="仿宋_GB2312" w:cs="仿宋_GB2312"/>
                <w:color w:val="auto"/>
                <w:kern w:val="24"/>
                <w:sz w:val="28"/>
                <w:szCs w:val="28"/>
              </w:rPr>
              <w:t>〕</w:t>
            </w:r>
          </w:p>
        </w:tc>
        <w:tc>
          <w:tcPr>
            <w:tcW w:w="11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textAlignment w:val="center"/>
              <w:rPr>
                <w:rFonts w:hint="default"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lang w:val="en-US" w:eastAsia="zh-CN"/>
              </w:rPr>
              <w:t>[47.41]</w:t>
            </w:r>
          </w:p>
        </w:tc>
      </w:tr>
      <w:tr>
        <w:tblPrEx>
          <w:tblCellMar>
            <w:top w:w="0" w:type="dxa"/>
            <w:left w:w="0" w:type="dxa"/>
            <w:bottom w:w="0" w:type="dxa"/>
            <w:right w:w="0" w:type="dxa"/>
          </w:tblCellMar>
        </w:tblPrEx>
        <w:trPr>
          <w:trHeight w:val="454" w:hRule="exac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6</w:t>
            </w:r>
          </w:p>
        </w:tc>
        <w:tc>
          <w:tcPr>
            <w:tcW w:w="491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textAlignment w:val="center"/>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万元工业增加值用水量下降（%）</w:t>
            </w:r>
          </w:p>
        </w:tc>
        <w:tc>
          <w:tcPr>
            <w:tcW w:w="12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〔12〕</w:t>
            </w:r>
          </w:p>
        </w:tc>
        <w:tc>
          <w:tcPr>
            <w:tcW w:w="11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textAlignment w:val="center"/>
              <w:rPr>
                <w:rFonts w:hint="default"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lang w:val="en-US" w:eastAsia="zh-CN"/>
              </w:rPr>
              <w:t>[12.2]</w:t>
            </w:r>
          </w:p>
        </w:tc>
      </w:tr>
      <w:tr>
        <w:tblPrEx>
          <w:tblCellMar>
            <w:top w:w="0" w:type="dxa"/>
            <w:left w:w="0" w:type="dxa"/>
            <w:bottom w:w="0" w:type="dxa"/>
            <w:right w:w="0" w:type="dxa"/>
          </w:tblCellMar>
        </w:tblPrEx>
        <w:trPr>
          <w:trHeight w:val="454" w:hRule="exac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7</w:t>
            </w:r>
          </w:p>
        </w:tc>
        <w:tc>
          <w:tcPr>
            <w:tcW w:w="491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textAlignment w:val="center"/>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万元工业增加值用水量（m</w:t>
            </w:r>
            <w:r>
              <w:rPr>
                <w:rFonts w:hint="eastAsia" w:ascii="仿宋_GB2312" w:hAnsi="仿宋_GB2312" w:eastAsia="仿宋_GB2312" w:cs="仿宋_GB2312"/>
                <w:color w:val="auto"/>
                <w:kern w:val="24"/>
                <w:sz w:val="28"/>
                <w:szCs w:val="28"/>
                <w:vertAlign w:val="superscript"/>
              </w:rPr>
              <w:t>3</w:t>
            </w:r>
            <w:r>
              <w:rPr>
                <w:rFonts w:hint="eastAsia" w:ascii="仿宋_GB2312" w:hAnsi="仿宋_GB2312" w:eastAsia="仿宋_GB2312" w:cs="仿宋_GB2312"/>
                <w:color w:val="auto"/>
                <w:kern w:val="24"/>
                <w:sz w:val="28"/>
                <w:szCs w:val="28"/>
              </w:rPr>
              <w:t>）</w:t>
            </w:r>
          </w:p>
        </w:tc>
        <w:tc>
          <w:tcPr>
            <w:tcW w:w="12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24"/>
                <w:sz w:val="28"/>
                <w:szCs w:val="28"/>
              </w:rPr>
              <w:t>〔</w:t>
            </w:r>
            <w:r>
              <w:rPr>
                <w:rFonts w:hint="eastAsia" w:ascii="仿宋_GB2312" w:hAnsi="仿宋_GB2312" w:eastAsia="仿宋_GB2312" w:cs="仿宋_GB2312"/>
                <w:color w:val="auto"/>
                <w:kern w:val="24"/>
                <w:sz w:val="28"/>
                <w:szCs w:val="28"/>
                <w:lang w:val="en-US" w:eastAsia="zh-CN"/>
              </w:rPr>
              <w:t>16.02</w:t>
            </w:r>
            <w:r>
              <w:rPr>
                <w:rFonts w:hint="eastAsia" w:ascii="仿宋_GB2312" w:hAnsi="仿宋_GB2312" w:eastAsia="仿宋_GB2312" w:cs="仿宋_GB2312"/>
                <w:color w:val="auto"/>
                <w:kern w:val="24"/>
                <w:sz w:val="28"/>
                <w:szCs w:val="28"/>
              </w:rPr>
              <w:t>〕</w:t>
            </w:r>
          </w:p>
        </w:tc>
        <w:tc>
          <w:tcPr>
            <w:tcW w:w="11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textAlignment w:val="center"/>
              <w:rPr>
                <w:rFonts w:hint="default"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lang w:val="en-US" w:eastAsia="zh-CN"/>
              </w:rPr>
              <w:t>[15.98]</w:t>
            </w:r>
          </w:p>
        </w:tc>
      </w:tr>
      <w:tr>
        <w:tblPrEx>
          <w:tblCellMar>
            <w:top w:w="0" w:type="dxa"/>
            <w:left w:w="0" w:type="dxa"/>
            <w:bottom w:w="0" w:type="dxa"/>
            <w:right w:w="0" w:type="dxa"/>
          </w:tblCellMar>
        </w:tblPrEx>
        <w:trPr>
          <w:trHeight w:val="454" w:hRule="exac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8</w:t>
            </w:r>
          </w:p>
        </w:tc>
        <w:tc>
          <w:tcPr>
            <w:tcW w:w="491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textAlignment w:val="center"/>
              <w:rPr>
                <w:rFonts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24"/>
                <w:sz w:val="28"/>
                <w:szCs w:val="28"/>
              </w:rPr>
              <w:t>农田灌溉水有效利用系数</w:t>
            </w:r>
          </w:p>
        </w:tc>
        <w:tc>
          <w:tcPr>
            <w:tcW w:w="12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24"/>
                <w:sz w:val="28"/>
                <w:szCs w:val="28"/>
              </w:rPr>
              <w:t>〔0.66〕</w:t>
            </w:r>
          </w:p>
        </w:tc>
        <w:tc>
          <w:tcPr>
            <w:tcW w:w="11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textAlignment w:val="center"/>
              <w:rPr>
                <w:rFonts w:hint="default"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〔0.66〕</w:t>
            </w:r>
          </w:p>
        </w:tc>
      </w:tr>
      <w:tr>
        <w:tblPrEx>
          <w:tblCellMar>
            <w:top w:w="0" w:type="dxa"/>
            <w:left w:w="0" w:type="dxa"/>
            <w:bottom w:w="0" w:type="dxa"/>
            <w:right w:w="0" w:type="dxa"/>
          </w:tblCellMar>
        </w:tblPrEx>
        <w:trPr>
          <w:trHeight w:val="454" w:hRule="exac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9</w:t>
            </w:r>
          </w:p>
        </w:tc>
        <w:tc>
          <w:tcPr>
            <w:tcW w:w="491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textAlignment w:val="center"/>
              <w:rPr>
                <w:rFonts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24"/>
                <w:sz w:val="28"/>
                <w:szCs w:val="28"/>
              </w:rPr>
              <w:t>水土流失治理率（%）</w:t>
            </w:r>
          </w:p>
        </w:tc>
        <w:tc>
          <w:tcPr>
            <w:tcW w:w="12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24"/>
                <w:sz w:val="28"/>
                <w:szCs w:val="28"/>
              </w:rPr>
              <w:t>〔</w:t>
            </w:r>
            <w:r>
              <w:rPr>
                <w:rFonts w:hint="eastAsia" w:ascii="仿宋_GB2312" w:hAnsi="仿宋_GB2312" w:eastAsia="仿宋_GB2312" w:cs="仿宋_GB2312"/>
                <w:color w:val="auto"/>
                <w:kern w:val="24"/>
                <w:sz w:val="28"/>
                <w:szCs w:val="28"/>
                <w:lang w:val="en-US" w:eastAsia="zh-CN"/>
              </w:rPr>
              <w:t>34.7</w:t>
            </w:r>
            <w:r>
              <w:rPr>
                <w:rFonts w:hint="eastAsia" w:ascii="仿宋_GB2312" w:hAnsi="仿宋_GB2312" w:eastAsia="仿宋_GB2312" w:cs="仿宋_GB2312"/>
                <w:color w:val="auto"/>
                <w:kern w:val="24"/>
                <w:sz w:val="28"/>
                <w:szCs w:val="28"/>
              </w:rPr>
              <w:t>〕</w:t>
            </w:r>
          </w:p>
        </w:tc>
        <w:tc>
          <w:tcPr>
            <w:tcW w:w="11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textAlignment w:val="center"/>
              <w:rPr>
                <w:rFonts w:hint="default"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lang w:val="en-US" w:eastAsia="zh-CN"/>
              </w:rPr>
              <w:t>[37.9]</w:t>
            </w:r>
          </w:p>
        </w:tc>
      </w:tr>
      <w:tr>
        <w:tblPrEx>
          <w:tblCellMar>
            <w:top w:w="0" w:type="dxa"/>
            <w:left w:w="0" w:type="dxa"/>
            <w:bottom w:w="0" w:type="dxa"/>
            <w:right w:w="0" w:type="dxa"/>
          </w:tblCellMar>
        </w:tblPrEx>
        <w:trPr>
          <w:trHeight w:val="454" w:hRule="exac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10</w:t>
            </w:r>
          </w:p>
        </w:tc>
        <w:tc>
          <w:tcPr>
            <w:tcW w:w="491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textAlignment w:val="center"/>
              <w:rPr>
                <w:rFonts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24"/>
                <w:sz w:val="28"/>
                <w:szCs w:val="28"/>
              </w:rPr>
              <w:t>新增水土流失综合治理面积（km</w:t>
            </w:r>
            <w:r>
              <w:rPr>
                <w:rFonts w:hint="eastAsia" w:ascii="仿宋_GB2312" w:hAnsi="仿宋_GB2312" w:eastAsia="仿宋_GB2312" w:cs="仿宋_GB2312"/>
                <w:color w:val="auto"/>
                <w:kern w:val="24"/>
                <w:sz w:val="28"/>
                <w:szCs w:val="28"/>
                <w:vertAlign w:val="superscript"/>
              </w:rPr>
              <w:t>2</w:t>
            </w:r>
            <w:r>
              <w:rPr>
                <w:rFonts w:hint="eastAsia" w:ascii="仿宋_GB2312" w:hAnsi="仿宋_GB2312" w:eastAsia="仿宋_GB2312" w:cs="仿宋_GB2312"/>
                <w:color w:val="auto"/>
                <w:kern w:val="24"/>
                <w:sz w:val="28"/>
                <w:szCs w:val="28"/>
              </w:rPr>
              <w:t>）</w:t>
            </w:r>
          </w:p>
        </w:tc>
        <w:tc>
          <w:tcPr>
            <w:tcW w:w="12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rPr>
              <w:t>325</w:t>
            </w:r>
          </w:p>
        </w:tc>
        <w:tc>
          <w:tcPr>
            <w:tcW w:w="11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textAlignment w:val="center"/>
              <w:rPr>
                <w:rFonts w:hint="default"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332</w:t>
            </w:r>
          </w:p>
        </w:tc>
      </w:tr>
      <w:tr>
        <w:tblPrEx>
          <w:tblCellMar>
            <w:top w:w="0" w:type="dxa"/>
            <w:left w:w="0" w:type="dxa"/>
            <w:bottom w:w="0" w:type="dxa"/>
            <w:right w:w="0" w:type="dxa"/>
          </w:tblCellMar>
        </w:tblPrEx>
        <w:trPr>
          <w:trHeight w:val="454" w:hRule="exac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textAlignment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11</w:t>
            </w:r>
          </w:p>
        </w:tc>
        <w:tc>
          <w:tcPr>
            <w:tcW w:w="491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rPr>
                <w:rFonts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24"/>
                <w:sz w:val="28"/>
                <w:szCs w:val="28"/>
              </w:rPr>
              <w:t>工业用水重复利用率（%）</w:t>
            </w:r>
          </w:p>
        </w:tc>
        <w:tc>
          <w:tcPr>
            <w:tcW w:w="12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〔86〕</w:t>
            </w:r>
          </w:p>
        </w:tc>
        <w:tc>
          <w:tcPr>
            <w:tcW w:w="11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textAlignment w:val="center"/>
              <w:rPr>
                <w:rFonts w:hint="default"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lang w:val="en-US" w:eastAsia="zh-CN"/>
              </w:rPr>
              <w:t>[86]</w:t>
            </w:r>
          </w:p>
        </w:tc>
      </w:tr>
      <w:tr>
        <w:tblPrEx>
          <w:tblCellMar>
            <w:top w:w="0" w:type="dxa"/>
            <w:left w:w="0" w:type="dxa"/>
            <w:bottom w:w="0" w:type="dxa"/>
            <w:right w:w="0" w:type="dxa"/>
          </w:tblCellMar>
        </w:tblPrEx>
        <w:trPr>
          <w:trHeight w:val="454" w:hRule="exac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12</w:t>
            </w:r>
          </w:p>
        </w:tc>
        <w:tc>
          <w:tcPr>
            <w:tcW w:w="491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城镇公共供水管网漏损率</w:t>
            </w:r>
          </w:p>
        </w:tc>
        <w:tc>
          <w:tcPr>
            <w:tcW w:w="12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10%</w:t>
            </w:r>
          </w:p>
        </w:tc>
        <w:tc>
          <w:tcPr>
            <w:tcW w:w="11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textAlignment w:val="center"/>
              <w:rPr>
                <w:rFonts w:hint="default"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10%</w:t>
            </w:r>
          </w:p>
        </w:tc>
      </w:tr>
      <w:tr>
        <w:tblPrEx>
          <w:tblCellMar>
            <w:top w:w="0" w:type="dxa"/>
            <w:left w:w="0" w:type="dxa"/>
            <w:bottom w:w="0" w:type="dxa"/>
            <w:right w:w="0" w:type="dxa"/>
          </w:tblCellMar>
        </w:tblPrEx>
        <w:trPr>
          <w:trHeight w:val="454" w:hRule="exact"/>
          <w:jc w:val="center"/>
        </w:trPr>
        <w:tc>
          <w:tcPr>
            <w:tcW w:w="91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仿宋_GB2312" w:eastAsia="仿宋_GB2312" w:cs="仿宋_GB2312"/>
                <w:color w:val="auto"/>
                <w:kern w:val="24"/>
                <w:sz w:val="28"/>
                <w:szCs w:val="28"/>
              </w:rPr>
            </w:pPr>
            <w:r>
              <w:rPr>
                <w:rFonts w:hint="eastAsia" w:ascii="仿宋_GB2312" w:hAnsi="仿宋_GB2312" w:eastAsia="仿宋_GB2312" w:cs="仿宋_GB2312"/>
                <w:color w:val="auto"/>
                <w:kern w:val="24"/>
                <w:sz w:val="28"/>
                <w:szCs w:val="28"/>
              </w:rPr>
              <w:t>13</w:t>
            </w:r>
          </w:p>
        </w:tc>
        <w:tc>
          <w:tcPr>
            <w:tcW w:w="491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城市生活污水处理率</w:t>
            </w:r>
          </w:p>
        </w:tc>
        <w:tc>
          <w:tcPr>
            <w:tcW w:w="12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98%</w:t>
            </w:r>
          </w:p>
        </w:tc>
        <w:tc>
          <w:tcPr>
            <w:tcW w:w="11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textAlignment w:val="center"/>
              <w:rPr>
                <w:rFonts w:ascii="仿宋_GB2312" w:hAnsi="仿宋_GB2312" w:eastAsia="仿宋_GB2312" w:cs="仿宋_GB2312"/>
                <w:color w:val="auto"/>
                <w:kern w:val="24"/>
                <w:sz w:val="28"/>
                <w:szCs w:val="28"/>
                <w:lang w:val="en-US" w:eastAsia="zh-CN" w:bidi="ar-SA"/>
              </w:rPr>
            </w:pPr>
            <w:r>
              <w:rPr>
                <w:rFonts w:hint="eastAsia" w:ascii="仿宋_GB2312" w:hAnsi="仿宋_GB2312" w:eastAsia="仿宋_GB2312" w:cs="仿宋_GB2312"/>
                <w:color w:val="auto"/>
                <w:kern w:val="24"/>
                <w:sz w:val="28"/>
                <w:szCs w:val="28"/>
              </w:rPr>
              <w:t>98%</w:t>
            </w:r>
          </w:p>
        </w:tc>
      </w:tr>
    </w:tbl>
    <w:p>
      <w:pPr>
        <w:pageBreakBefore w:val="0"/>
        <w:widowControl w:val="0"/>
        <w:kinsoku/>
        <w:wordWrap/>
        <w:overflowPunct/>
        <w:topLinePunct w:val="0"/>
        <w:autoSpaceDE/>
        <w:autoSpaceDN/>
        <w:bidi w:val="0"/>
        <w:adjustRightInd w:val="0"/>
        <w:snapToGrid w:val="0"/>
        <w:spacing w:line="360" w:lineRule="auto"/>
        <w:ind w:firstLine="640"/>
        <w:textAlignment w:val="auto"/>
        <w:rPr>
          <w:rFonts w:hint="eastAsia" w:ascii="仿宋_GB2312" w:hAnsi="仿宋_GB2312" w:eastAsia="仿宋_GB2312" w:cs="仿宋_GB2312"/>
          <w:bCs/>
          <w:color w:val="auto"/>
          <w:sz w:val="32"/>
          <w:szCs w:val="32"/>
          <w:lang w:val="en-US" w:eastAsia="zh-CN"/>
        </w:rPr>
      </w:pPr>
    </w:p>
    <w:p>
      <w:pPr>
        <w:pStyle w:val="2"/>
        <w:rPr>
          <w:rFonts w:hint="eastAsia" w:ascii="仿宋_GB2312" w:hAnsi="仿宋_GB2312" w:eastAsia="仿宋_GB2312" w:cs="仿宋_GB2312"/>
          <w:bCs/>
          <w:color w:val="auto"/>
          <w:sz w:val="32"/>
          <w:szCs w:val="32"/>
          <w:lang w:val="en-US" w:eastAsia="zh-CN"/>
        </w:rPr>
      </w:pPr>
    </w:p>
    <w:p>
      <w:pPr>
        <w:pStyle w:val="2"/>
        <w:rPr>
          <w:rFonts w:hint="eastAsia" w:ascii="仿宋_GB2312" w:hAnsi="仿宋_GB2312" w:eastAsia="仿宋_GB2312" w:cs="仿宋_GB2312"/>
          <w:bCs/>
          <w:color w:val="auto"/>
          <w:sz w:val="32"/>
          <w:szCs w:val="32"/>
          <w:lang w:val="en-US" w:eastAsia="zh-CN"/>
        </w:rPr>
      </w:pPr>
    </w:p>
    <w:p>
      <w:pPr>
        <w:pStyle w:val="2"/>
        <w:rPr>
          <w:rFonts w:hint="eastAsia" w:ascii="仿宋_GB2312" w:hAnsi="仿宋_GB2312" w:eastAsia="仿宋_GB2312" w:cs="仿宋_GB2312"/>
          <w:bCs/>
          <w:color w:val="auto"/>
          <w:sz w:val="32"/>
          <w:szCs w:val="32"/>
          <w:lang w:val="en-US" w:eastAsia="zh-CN"/>
        </w:rPr>
      </w:pPr>
    </w:p>
    <w:p>
      <w:pPr>
        <w:pStyle w:val="2"/>
        <w:rPr>
          <w:rFonts w:hint="eastAsia" w:ascii="仿宋_GB2312" w:hAnsi="仿宋_GB2312" w:eastAsia="仿宋_GB2312" w:cs="仿宋_GB2312"/>
          <w:bCs/>
          <w:color w:val="auto"/>
          <w:sz w:val="32"/>
          <w:szCs w:val="32"/>
          <w:lang w:val="en-US" w:eastAsia="zh-CN"/>
        </w:rPr>
      </w:pPr>
    </w:p>
    <w:p>
      <w:pPr>
        <w:pStyle w:val="2"/>
        <w:rPr>
          <w:rFonts w:hint="eastAsia" w:ascii="仿宋_GB2312" w:hAnsi="仿宋_GB2312" w:eastAsia="仿宋_GB2312" w:cs="仿宋_GB2312"/>
          <w:bCs/>
          <w:color w:val="auto"/>
          <w:sz w:val="32"/>
          <w:szCs w:val="32"/>
          <w:lang w:val="en-US" w:eastAsia="zh-CN"/>
        </w:rPr>
      </w:pPr>
    </w:p>
    <w:p>
      <w:pPr>
        <w:pStyle w:val="2"/>
        <w:rPr>
          <w:rFonts w:hint="eastAsia" w:ascii="仿宋_GB2312" w:hAnsi="仿宋_GB2312" w:eastAsia="仿宋_GB2312" w:cs="仿宋_GB2312"/>
          <w:bCs/>
          <w:color w:val="auto"/>
          <w:sz w:val="32"/>
          <w:szCs w:val="32"/>
          <w:lang w:val="en-US" w:eastAsia="zh-CN"/>
        </w:rPr>
      </w:pPr>
    </w:p>
    <w:p>
      <w:pPr>
        <w:pStyle w:val="2"/>
        <w:rPr>
          <w:rFonts w:hint="eastAsia" w:ascii="仿宋_GB2312" w:hAnsi="仿宋_GB2312" w:eastAsia="仿宋_GB2312" w:cs="仿宋_GB2312"/>
          <w:bCs/>
          <w:color w:val="auto"/>
          <w:sz w:val="32"/>
          <w:szCs w:val="32"/>
          <w:lang w:val="en-US" w:eastAsia="zh-CN"/>
        </w:rPr>
      </w:pPr>
    </w:p>
    <w:p>
      <w:pPr>
        <w:pStyle w:val="2"/>
        <w:rPr>
          <w:rFonts w:hint="eastAsia" w:ascii="仿宋_GB2312" w:hAnsi="仿宋_GB2312" w:eastAsia="仿宋_GB2312" w:cs="仿宋_GB2312"/>
          <w:bCs/>
          <w:color w:val="auto"/>
          <w:sz w:val="32"/>
          <w:szCs w:val="32"/>
          <w:lang w:val="en-US" w:eastAsia="zh-CN"/>
        </w:rPr>
      </w:pPr>
    </w:p>
    <w:p>
      <w:pPr>
        <w:pStyle w:val="2"/>
        <w:rPr>
          <w:rFonts w:hint="eastAsia" w:ascii="仿宋_GB2312" w:hAnsi="仿宋_GB2312" w:eastAsia="仿宋_GB2312" w:cs="仿宋_GB2312"/>
          <w:bCs/>
          <w:color w:val="auto"/>
          <w:sz w:val="32"/>
          <w:szCs w:val="32"/>
          <w:lang w:val="en-US" w:eastAsia="zh-CN"/>
        </w:rPr>
      </w:pPr>
    </w:p>
    <w:p>
      <w:pPr>
        <w:pStyle w:val="2"/>
        <w:rPr>
          <w:rFonts w:hint="eastAsia" w:ascii="仿宋_GB2312" w:hAnsi="仿宋_GB2312" w:eastAsia="仿宋_GB2312" w:cs="仿宋_GB2312"/>
          <w:bCs/>
          <w:color w:val="auto"/>
          <w:sz w:val="32"/>
          <w:szCs w:val="32"/>
          <w:lang w:val="en-US" w:eastAsia="zh-CN"/>
        </w:rPr>
      </w:pPr>
    </w:p>
    <w:p>
      <w:pPr>
        <w:pStyle w:val="2"/>
        <w:rPr>
          <w:rFonts w:hint="eastAsia" w:ascii="仿宋_GB2312" w:hAnsi="仿宋_GB2312" w:eastAsia="仿宋_GB2312" w:cs="仿宋_GB2312"/>
          <w:bCs/>
          <w:color w:val="auto"/>
          <w:sz w:val="32"/>
          <w:szCs w:val="32"/>
          <w:lang w:val="en-US" w:eastAsia="zh-CN"/>
        </w:rPr>
      </w:pPr>
    </w:p>
    <w:p>
      <w:pPr>
        <w:pageBreakBefore w:val="0"/>
        <w:widowControl w:val="0"/>
        <w:kinsoku/>
        <w:wordWrap/>
        <w:overflowPunct/>
        <w:topLinePunct w:val="0"/>
        <w:autoSpaceDE/>
        <w:autoSpaceDN/>
        <w:bidi w:val="0"/>
        <w:adjustRightInd w:val="0"/>
        <w:snapToGrid w:val="0"/>
        <w:spacing w:line="360" w:lineRule="auto"/>
        <w:ind w:firstLine="640"/>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总体上看，济宁市水利发展“十三五”规划主要指标全部完成，为“十四五”时期水利发展再上新台阶奠定了良好基础。济宁市防洪减灾体系基本形成，水资源配置格局不断优化，农田灌排体系基本建立，水土资源保护能力显著提高，为国民经济和社会发展提供了有力的支撑。</w:t>
      </w:r>
    </w:p>
    <w:p>
      <w:pPr>
        <w:pStyle w:val="5"/>
        <w:pageBreakBefore w:val="0"/>
        <w:widowControl w:val="0"/>
        <w:kinsoku/>
        <w:wordWrap/>
        <w:overflowPunct/>
        <w:topLinePunct w:val="0"/>
        <w:autoSpaceDE/>
        <w:autoSpaceDN/>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5" w:name="_Toc22582"/>
      <w:r>
        <w:rPr>
          <w:rFonts w:hint="eastAsia" w:ascii="楷体" w:hAnsi="楷体" w:eastAsia="楷体" w:cs="仿宋_GB2312"/>
          <w:color w:val="auto"/>
        </w:rPr>
        <w:t>（三）面临的形势</w:t>
      </w:r>
      <w:bookmarkEnd w:id="5"/>
    </w:p>
    <w:p>
      <w:pPr>
        <w:pStyle w:val="29"/>
        <w:keepNext w:val="0"/>
        <w:keepLines w:val="0"/>
        <w:pageBreakBefore w:val="0"/>
        <w:widowControl w:val="0"/>
        <w:numPr>
          <w:ilvl w:val="0"/>
          <w:numId w:val="0"/>
        </w:numPr>
        <w:tabs>
          <w:tab w:val="left" w:pos="2204"/>
        </w:tabs>
        <w:kinsoku/>
        <w:wordWrap/>
        <w:overflowPunct/>
        <w:topLinePunct w:val="0"/>
        <w:autoSpaceDE/>
        <w:autoSpaceDN/>
        <w:bidi w:val="0"/>
        <w:adjustRightInd w:val="0"/>
        <w:snapToGrid w:val="0"/>
        <w:spacing w:before="199" w:after="0" w:line="360" w:lineRule="auto"/>
        <w:ind w:right="0" w:rightChars="0" w:firstLine="642" w:firstLineChars="200"/>
        <w:jc w:val="left"/>
        <w:textAlignment w:val="auto"/>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b/>
          <w:bCs/>
          <w:color w:val="auto"/>
          <w:kern w:val="0"/>
          <w:sz w:val="32"/>
          <w:szCs w:val="32"/>
          <w:lang w:val="en-US" w:eastAsia="zh-CN" w:bidi="ar-SA"/>
        </w:rPr>
        <w:t>1、党的十九届五中全会对水利发展提出了新要求。</w:t>
      </w:r>
      <w:r>
        <w:rPr>
          <w:rFonts w:hint="eastAsia" w:ascii="仿宋_GB2312" w:hAnsi="仿宋_GB2312" w:eastAsia="仿宋_GB2312" w:cs="仿宋_GB2312"/>
          <w:color w:val="auto"/>
          <w:spacing w:val="2"/>
          <w:sz w:val="32"/>
          <w:szCs w:val="32"/>
        </w:rPr>
        <w:t>党的十九届五中全会审议通过《中共中</w:t>
      </w:r>
      <w:r>
        <w:rPr>
          <w:rFonts w:hint="eastAsia" w:ascii="仿宋_GB2312" w:hAnsi="仿宋_GB2312" w:eastAsia="仿宋_GB2312" w:cs="仿宋_GB2312"/>
          <w:color w:val="auto"/>
          <w:spacing w:val="2"/>
          <w:sz w:val="32"/>
          <w:szCs w:val="32"/>
          <w:lang w:val="en-US" w:eastAsia="zh-CN"/>
        </w:rPr>
        <w:t>央</w:t>
      </w:r>
      <w:r>
        <w:rPr>
          <w:rFonts w:hint="eastAsia" w:ascii="仿宋_GB2312" w:hAnsi="仿宋_GB2312" w:eastAsia="仿宋_GB2312" w:cs="仿宋_GB2312"/>
          <w:color w:val="auto"/>
          <w:spacing w:val="2"/>
          <w:sz w:val="32"/>
          <w:szCs w:val="32"/>
        </w:rPr>
        <w:t>关于制定国民经济 和社会发展第十四个五年规划和二0三五年远景目标的建议》，为中国未来发展谋划了宏伟蓝图、指明了发展方向。全会做出一系列重要部署，为提升水资源优化配置和水旱灾害防御能力、提高水资源集约安全利用水平等水利工作指明了主攻方向、战略目标和重点任务，</w:t>
      </w:r>
      <w:r>
        <w:rPr>
          <w:rFonts w:hint="eastAsia" w:ascii="仿宋_GB2312" w:hAnsi="仿宋_GB2312" w:eastAsia="仿宋_GB2312" w:cs="仿宋_GB2312"/>
          <w:color w:val="auto"/>
          <w:spacing w:val="2"/>
          <w:sz w:val="32"/>
          <w:szCs w:val="32"/>
          <w:lang w:val="en-US" w:eastAsia="zh-CN"/>
        </w:rPr>
        <w:t>明确要求实施国家水网重大工程，推进重大引调水、防洪减灾</w:t>
      </w:r>
      <w:r>
        <w:rPr>
          <w:rFonts w:hint="eastAsia" w:ascii="仿宋_GB2312" w:hAnsi="仿宋_GB2312" w:eastAsia="仿宋_GB2312" w:cs="仿宋_GB2312"/>
          <w:color w:val="auto"/>
          <w:spacing w:val="2"/>
          <w:sz w:val="32"/>
          <w:szCs w:val="32"/>
        </w:rPr>
        <w:t>等一批强基础、增功能、利长远的重大项目建设。贯彻落实十九届五中全会精神，科学谋划“十四五”水利发展规划及2035年远景目标，必须准确把握“立足新发展阶段、贯彻新发展理念、构建新发展格局＂核心要义，全力推动实现水利高质量发展。</w:t>
      </w:r>
    </w:p>
    <w:p>
      <w:pPr>
        <w:keepNext w:val="0"/>
        <w:keepLines w:val="0"/>
        <w:pageBreakBefore w:val="0"/>
        <w:widowControl w:val="0"/>
        <w:kinsoku/>
        <w:wordWrap/>
        <w:overflowPunct/>
        <w:topLinePunct w:val="0"/>
        <w:autoSpaceDE/>
        <w:autoSpaceDN/>
        <w:bidi w:val="0"/>
        <w:adjustRightInd w:val="0"/>
        <w:snapToGrid w:val="0"/>
        <w:spacing w:line="360" w:lineRule="auto"/>
        <w:ind w:firstLine="648" w:firstLineChars="200"/>
        <w:jc w:val="left"/>
        <w:textAlignment w:val="auto"/>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t>立足新发展阶段，要求水利工作明确发展定位、全面提升标 准，在解决好水资源、水灾害问题的同时，着力解决好水利发展 不平衡不充分的问题，更好地满足人民群众对防洪保安全、优质 水资源、健康水生态、宜居水环境、先进水文化等方面的美好需 求。贯彻新发展理念，要求水利工作坚持以人民为中心的发展思 想，让人民群众有更多、更直接、更实在的获得感、幸福感、安 全感；坚持问题导向，深挖根源、系统治理，有针对性的采用更 加精准务实的举措；树牢底线思维，增强风险意识，固底板、补 短板、锻长板，下好风险防控先手棋。构建新发展格局，要求增 加水利有效供给、促进协调发展，聚焦保障防洪安全、供水安全、生态安全、粮食安全，谋划提出一批基础性、战略性重大水利项 目，发挥水利建设投资在优化供给结构、畅通国内大循环方面的 关键作用。</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642" w:firstLineChars="200"/>
        <w:textAlignment w:val="auto"/>
        <w:rPr>
          <w:rFonts w:hint="eastAsia" w:ascii="仿宋_GB2312" w:hAnsi="仿宋_GB2312" w:eastAsia="仿宋_GB2312" w:cs="仿宋_GB2312"/>
          <w:b/>
          <w:bCs/>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2、国家、省和市重大战略实施为水利务发展提供了新机遇。</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648" w:firstLineChars="200"/>
        <w:jc w:val="both"/>
        <w:textAlignment w:val="auto"/>
        <w:rPr>
          <w:rFonts w:hint="eastAsia" w:ascii="仿宋_GB2312" w:hAnsi="仿宋_GB2312" w:eastAsia="仿宋_GB2312" w:cs="仿宋_GB2312"/>
          <w:color w:val="auto"/>
          <w:spacing w:val="2"/>
          <w:kern w:val="2"/>
          <w:sz w:val="32"/>
          <w:szCs w:val="32"/>
          <w:lang w:val="en-US" w:eastAsia="zh-CN" w:bidi="ar-SA"/>
        </w:rPr>
      </w:pPr>
      <w:r>
        <w:rPr>
          <w:rFonts w:hint="eastAsia" w:ascii="仿宋_GB2312" w:hAnsi="仿宋_GB2312" w:eastAsia="仿宋_GB2312" w:cs="仿宋_GB2312"/>
          <w:color w:val="auto"/>
          <w:spacing w:val="2"/>
          <w:sz w:val="32"/>
          <w:szCs w:val="32"/>
        </w:rPr>
        <w:t>“十四五”时期是我国全面建成小康社会、实现第一个百年目标之后，乘势而上开启全面建设社会主义现代化国家新征程、向第二个百年奋斗目标进军的第一个五年；</w:t>
      </w:r>
      <w:r>
        <w:rPr>
          <w:rFonts w:hint="eastAsia" w:ascii="仿宋_GB2312" w:hAnsi="仿宋_GB2312" w:eastAsia="仿宋_GB2312" w:cs="仿宋_GB2312"/>
          <w:color w:val="auto"/>
          <w:spacing w:val="2"/>
          <w:kern w:val="2"/>
          <w:sz w:val="32"/>
          <w:szCs w:val="32"/>
          <w:lang w:val="en-US" w:eastAsia="zh-CN" w:bidi="ar-SA"/>
        </w:rPr>
        <w:t>习近平在黄河流域生态保护和高质量发展座谈会上发出了“让黄河成为造福人民的幸福河”的伟大号召，强调要共同抓好大保护、协同推进大治理，黄河流域生态保护和高质量发展上升为重大国家战略，为山东发展提供了历史性机遇。山东“十四五”时期将深入实施八大发展战略，坚定不移推动新旧动能转换，建设国内大循环战略节点、国内国际双循环战略枢纽；济宁市“十四五”将</w:t>
      </w:r>
      <w:r>
        <w:rPr>
          <w:rFonts w:hint="eastAsia" w:ascii="仿宋_GB2312" w:hAnsi="仿宋_GB2312" w:eastAsia="仿宋_GB2312" w:cs="仿宋_GB2312"/>
          <w:color w:val="auto"/>
          <w:spacing w:val="2"/>
          <w:sz w:val="32"/>
          <w:szCs w:val="32"/>
        </w:rPr>
        <w:t>加快新旧动能转换，推动高质量发展</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大力推进“生态济宁、信息济宁、美丽济宁、文化济宁、民生济宁”五个济宁建设，</w:t>
      </w:r>
      <w:r>
        <w:rPr>
          <w:rFonts w:hint="eastAsia" w:ascii="仿宋_GB2312" w:hAnsi="仿宋_GB2312" w:eastAsia="仿宋_GB2312" w:cs="仿宋_GB2312"/>
          <w:color w:val="auto"/>
          <w:spacing w:val="2"/>
          <w:sz w:val="32"/>
          <w:szCs w:val="32"/>
          <w:lang w:val="en-US" w:eastAsia="zh-CN"/>
        </w:rPr>
        <w:t>实现</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科教强市</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先进制造业强市</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数字强市</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文化强市</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现代农业强市</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交通物流强市</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生态强市</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健康强市</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lang w:val="en-US" w:eastAsia="zh-CN"/>
        </w:rPr>
        <w:t>八个强市突破</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建设鲁西南科学发展排头城市、转型发展先行城市、弘扬优秀传统文化示范城市和宜居宜业幸福城市</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lang w:val="en-US" w:eastAsia="zh-CN"/>
        </w:rPr>
        <w:t>迫切</w:t>
      </w:r>
      <w:r>
        <w:rPr>
          <w:rFonts w:hint="eastAsia" w:ascii="仿宋_GB2312" w:hAnsi="仿宋_GB2312" w:eastAsia="仿宋_GB2312" w:cs="仿宋_GB2312"/>
          <w:color w:val="auto"/>
          <w:spacing w:val="2"/>
          <w:kern w:val="2"/>
          <w:sz w:val="32"/>
          <w:szCs w:val="32"/>
          <w:lang w:val="en-US" w:eastAsia="zh-CN" w:bidi="ar-SA"/>
        </w:rPr>
        <w:t>需要强化水资源刚性约束，提升水资源优化配置和水旱灾害防御能力，尽快推动一批水资源保护利用、防洪减灾、生态保护重大项目、重大工程，夯实高质量发展的水安全保障基础。</w:t>
      </w:r>
    </w:p>
    <w:p>
      <w:pPr>
        <w:pStyle w:val="29"/>
        <w:keepNext w:val="0"/>
        <w:keepLines w:val="0"/>
        <w:pageBreakBefore w:val="0"/>
        <w:widowControl w:val="0"/>
        <w:numPr>
          <w:ilvl w:val="0"/>
          <w:numId w:val="1"/>
        </w:numPr>
        <w:tabs>
          <w:tab w:val="left" w:pos="2151"/>
        </w:tabs>
        <w:kinsoku/>
        <w:wordWrap/>
        <w:overflowPunct/>
        <w:topLinePunct w:val="0"/>
        <w:autoSpaceDE/>
        <w:autoSpaceDN/>
        <w:bidi w:val="0"/>
        <w:adjustRightInd w:val="0"/>
        <w:snapToGrid w:val="0"/>
        <w:spacing w:before="0" w:after="0" w:line="360" w:lineRule="auto"/>
        <w:ind w:leftChars="0" w:right="0" w:rightChars="0"/>
        <w:jc w:val="both"/>
        <w:textAlignment w:val="auto"/>
        <w:rPr>
          <w:rFonts w:hint="eastAsia" w:ascii="仿宋_GB2312" w:hAnsi="仿宋_GB2312" w:eastAsia="仿宋_GB2312" w:cs="仿宋_GB2312"/>
          <w:b/>
          <w:bCs/>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全市水利改革发展面临新挑战。</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648" w:firstLineChars="200"/>
        <w:jc w:val="both"/>
        <w:textAlignment w:val="auto"/>
        <w:rPr>
          <w:rFonts w:hint="eastAsia" w:ascii="仿宋_GB2312" w:hAnsi="仿宋_GB2312" w:eastAsia="仿宋_GB2312" w:cs="仿宋_GB2312"/>
          <w:color w:val="auto"/>
          <w:spacing w:val="2"/>
          <w:kern w:val="2"/>
          <w:sz w:val="32"/>
          <w:szCs w:val="32"/>
          <w:lang w:val="en-US" w:eastAsia="zh-CN" w:bidi="ar-SA"/>
        </w:rPr>
      </w:pPr>
      <w:r>
        <w:rPr>
          <w:rFonts w:hint="eastAsia" w:ascii="仿宋_GB2312" w:hAnsi="仿宋_GB2312" w:eastAsia="仿宋_GB2312" w:cs="仿宋_GB2312"/>
          <w:color w:val="auto"/>
          <w:spacing w:val="2"/>
          <w:kern w:val="2"/>
          <w:sz w:val="32"/>
          <w:szCs w:val="32"/>
          <w:lang w:val="en-US" w:eastAsia="zh-CN" w:bidi="ar-SA"/>
        </w:rPr>
        <w:t>受自然地理和气候条件影响，济宁市严重水患与严重干旱并存，资源性缺水与工程性缺水并存，水仍是新发展阶段全市经济社会高质量发展的关键制约。</w:t>
      </w:r>
    </w:p>
    <w:p>
      <w:pPr>
        <w:keepNext w:val="0"/>
        <w:keepLines w:val="0"/>
        <w:pageBreakBefore w:val="0"/>
        <w:widowControl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水资源分布不均衡，水资源工程调配利用体系</w:t>
      </w:r>
      <w:r>
        <w:rPr>
          <w:rFonts w:hint="eastAsia" w:ascii="仿宋_GB2312" w:hAnsi="仿宋_GB2312" w:eastAsia="仿宋_GB2312" w:cs="仿宋_GB2312"/>
          <w:b/>
          <w:bCs/>
          <w:color w:val="auto"/>
          <w:kern w:val="0"/>
          <w:sz w:val="32"/>
          <w:szCs w:val="32"/>
          <w:lang w:val="en-US" w:eastAsia="zh-CN"/>
        </w:rPr>
        <w:t>仍</w:t>
      </w:r>
      <w:r>
        <w:rPr>
          <w:rFonts w:hint="eastAsia" w:ascii="仿宋_GB2312" w:hAnsi="仿宋_GB2312" w:eastAsia="仿宋_GB2312" w:cs="仿宋_GB2312"/>
          <w:b/>
          <w:bCs/>
          <w:color w:val="auto"/>
          <w:kern w:val="0"/>
          <w:sz w:val="32"/>
          <w:szCs w:val="32"/>
        </w:rPr>
        <w:t>不完善。</w:t>
      </w:r>
      <w:r>
        <w:rPr>
          <w:rFonts w:hint="eastAsia" w:ascii="仿宋_GB2312" w:hAnsi="仿宋_GB2312" w:eastAsia="仿宋_GB2312" w:cs="仿宋_GB2312"/>
          <w:color w:val="000000" w:themeColor="text1"/>
          <w:spacing w:val="2"/>
          <w:sz w:val="32"/>
          <w:szCs w:val="32"/>
          <w14:textFill>
            <w14:solidFill>
              <w14:schemeClr w14:val="tx1"/>
            </w14:solidFill>
          </w14:textFill>
        </w:rPr>
        <w:t>全市多年平均水资源总量46亿m</w:t>
      </w:r>
      <w:r>
        <w:rPr>
          <w:rFonts w:hint="eastAsia" w:ascii="仿宋_GB2312" w:hAnsi="仿宋_GB2312" w:eastAsia="仿宋_GB2312" w:cs="仿宋_GB2312"/>
          <w:color w:val="000000" w:themeColor="text1"/>
          <w:spacing w:val="2"/>
          <w:sz w:val="32"/>
          <w:szCs w:val="32"/>
          <w:vertAlign w:val="superscript"/>
          <w14:textFill>
            <w14:solidFill>
              <w14:schemeClr w14:val="tx1"/>
            </w14:solidFill>
          </w14:textFill>
        </w:rPr>
        <w:t>3</w:t>
      </w:r>
      <w:r>
        <w:rPr>
          <w:rFonts w:hint="eastAsia" w:ascii="仿宋_GB2312" w:hAnsi="仿宋_GB2312" w:eastAsia="仿宋_GB2312" w:cs="仿宋_GB2312"/>
          <w:color w:val="000000" w:themeColor="text1"/>
          <w:spacing w:val="2"/>
          <w:sz w:val="32"/>
          <w:szCs w:val="32"/>
          <w14:textFill>
            <w14:solidFill>
              <w14:schemeClr w14:val="tx1"/>
            </w14:solidFill>
          </w14:textFill>
        </w:rPr>
        <w:t>，</w:t>
      </w:r>
      <w:r>
        <w:rPr>
          <w:rFonts w:hint="eastAsia" w:ascii="仿宋_GB2312" w:hAnsi="仿宋_GB2312" w:eastAsia="仿宋_GB2312" w:cs="仿宋_GB2312"/>
          <w:color w:val="000000" w:themeColor="text1"/>
          <w:spacing w:val="2"/>
          <w:sz w:val="32"/>
          <w:szCs w:val="32"/>
          <w:lang w:val="en-US" w:eastAsia="zh-CN"/>
          <w14:textFill>
            <w14:solidFill>
              <w14:schemeClr w14:val="tx1"/>
            </w14:solidFill>
          </w14:textFill>
        </w:rPr>
        <w:t>但是时空</w:t>
      </w:r>
      <w:r>
        <w:rPr>
          <w:rFonts w:hint="eastAsia" w:ascii="仿宋_GB2312" w:hAnsi="仿宋_GB2312" w:eastAsia="仿宋_GB2312" w:cs="仿宋_GB2312"/>
          <w:bCs/>
          <w:color w:val="000000" w:themeColor="text1"/>
          <w:spacing w:val="2"/>
          <w:sz w:val="32"/>
          <w:szCs w:val="32"/>
          <w14:textFill>
            <w14:solidFill>
              <w14:schemeClr w14:val="tx1"/>
            </w14:solidFill>
          </w14:textFill>
        </w:rPr>
        <w:t>分布不均</w:t>
      </w:r>
      <w:r>
        <w:rPr>
          <w:rFonts w:hint="eastAsia" w:ascii="仿宋_GB2312" w:hAnsi="仿宋_GB2312" w:eastAsia="仿宋_GB2312" w:cs="仿宋_GB2312"/>
          <w:bCs/>
          <w:color w:val="000000" w:themeColor="text1"/>
          <w:spacing w:val="2"/>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pacing w:val="2"/>
          <w:sz w:val="32"/>
          <w:szCs w:val="32"/>
          <w:lang w:val="en-US" w:eastAsia="zh-CN"/>
          <w14:textFill>
            <w14:solidFill>
              <w14:schemeClr w14:val="tx1"/>
            </w14:solidFill>
          </w14:textFill>
        </w:rPr>
        <w:t>在空间分布上，</w:t>
      </w:r>
      <w:r>
        <w:rPr>
          <w:rFonts w:hint="eastAsia" w:ascii="仿宋_GB2312" w:hAnsi="仿宋_GB2312" w:eastAsia="仿宋_GB2312" w:cs="仿宋_GB2312"/>
          <w:bCs/>
          <w:color w:val="000000" w:themeColor="text1"/>
          <w:spacing w:val="2"/>
          <w:sz w:val="32"/>
          <w:szCs w:val="32"/>
          <w14:textFill>
            <w14:solidFill>
              <w14:schemeClr w14:val="tx1"/>
            </w14:solidFill>
          </w14:textFill>
        </w:rPr>
        <w:t>全市年均降雨量从东南部的800mm依次递减至西北部的600mm，由于受下垫面的影响更大，年径流分布的不均匀性比年降水量更大，全市各地多年平均径流深在50-250mm之间。</w:t>
      </w:r>
      <w:r>
        <w:rPr>
          <w:rFonts w:hint="eastAsia" w:ascii="仿宋_GB2312" w:hAnsi="仿宋_GB2312" w:eastAsia="仿宋_GB2312" w:cs="仿宋_GB2312"/>
          <w:bCs/>
          <w:color w:val="000000" w:themeColor="text1"/>
          <w:spacing w:val="2"/>
          <w:sz w:val="32"/>
          <w:szCs w:val="32"/>
          <w:lang w:val="en-US" w:eastAsia="zh-CN"/>
          <w14:textFill>
            <w14:solidFill>
              <w14:schemeClr w14:val="tx1"/>
            </w14:solidFill>
          </w14:textFill>
        </w:rPr>
        <w:t>在时间分布上，</w:t>
      </w:r>
      <w:r>
        <w:rPr>
          <w:rFonts w:hint="eastAsia" w:ascii="仿宋_GB2312" w:hAnsi="仿宋_GB2312" w:eastAsia="仿宋_GB2312" w:cs="仿宋_GB2312"/>
          <w:bCs/>
          <w:color w:val="000000" w:themeColor="text1"/>
          <w:spacing w:val="2"/>
          <w:sz w:val="32"/>
          <w:szCs w:val="32"/>
          <w14:textFill>
            <w14:solidFill>
              <w14:schemeClr w14:val="tx1"/>
            </w14:solidFill>
          </w14:textFill>
        </w:rPr>
        <w:t>年际年内变化大。全年的降水量约有3/4集中在汛期，全年的天然径流量70%-80%集中在汛期，特别是7、8月份又占汛期径流量的60%-70%。</w:t>
      </w:r>
      <w:r>
        <w:rPr>
          <w:rFonts w:hint="eastAsia" w:ascii="仿宋_GB2312" w:hAnsi="仿宋_GB2312" w:eastAsia="仿宋_GB2312" w:cs="仿宋_GB2312"/>
          <w:color w:val="000000" w:themeColor="text1"/>
          <w:spacing w:val="2"/>
          <w:sz w:val="32"/>
          <w:szCs w:val="32"/>
          <w14:textFill>
            <w14:solidFill>
              <w14:schemeClr w14:val="tx1"/>
            </w14:solidFill>
          </w14:textFill>
        </w:rPr>
        <w:t>据测算，2025年50%保证率情况下全市年</w:t>
      </w:r>
      <w:r>
        <w:rPr>
          <w:rFonts w:hint="eastAsia" w:ascii="仿宋_GB2312" w:hAnsi="仿宋_GB2312" w:eastAsia="仿宋_GB2312" w:cs="仿宋_GB2312"/>
          <w:color w:val="auto"/>
          <w:spacing w:val="2"/>
          <w:sz w:val="32"/>
          <w:szCs w:val="32"/>
        </w:rPr>
        <w:t>缺水量将为1.4亿</w:t>
      </w:r>
      <w:r>
        <w:rPr>
          <w:rFonts w:hint="eastAsia" w:ascii="仿宋_GB2312" w:hAnsi="仿宋_GB2312" w:eastAsia="仿宋_GB2312" w:cs="仿宋_GB2312"/>
          <w:color w:val="auto"/>
          <w:spacing w:val="2"/>
          <w:sz w:val="32"/>
          <w:szCs w:val="32"/>
          <w:lang w:val="en-US" w:eastAsia="zh-CN"/>
        </w:rPr>
        <w:t>m</w:t>
      </w:r>
      <w:r>
        <w:rPr>
          <w:rFonts w:hint="eastAsia" w:ascii="仿宋_GB2312" w:hAnsi="仿宋_GB2312" w:eastAsia="仿宋_GB2312" w:cs="仿宋_GB2312"/>
          <w:color w:val="auto"/>
          <w:spacing w:val="2"/>
          <w:sz w:val="32"/>
          <w:szCs w:val="32"/>
          <w:vertAlign w:val="superscript"/>
          <w:lang w:val="en-US" w:eastAsia="zh-CN"/>
        </w:rPr>
        <w:t>3</w:t>
      </w:r>
      <w:r>
        <w:rPr>
          <w:rFonts w:hint="eastAsia" w:ascii="仿宋_GB2312" w:hAnsi="仿宋_GB2312" w:eastAsia="仿宋_GB2312" w:cs="仿宋_GB2312"/>
          <w:color w:val="auto"/>
          <w:spacing w:val="2"/>
          <w:sz w:val="32"/>
          <w:szCs w:val="32"/>
          <w:vertAlign w:val="baseline"/>
          <w:lang w:val="en-US" w:eastAsia="zh-CN"/>
        </w:rPr>
        <w:t>、</w:t>
      </w:r>
      <w:r>
        <w:rPr>
          <w:rFonts w:hint="eastAsia" w:ascii="仿宋_GB2312" w:hAnsi="仿宋_GB2312" w:eastAsia="仿宋_GB2312" w:cs="仿宋_GB2312"/>
          <w:color w:val="auto"/>
          <w:spacing w:val="2"/>
          <w:sz w:val="32"/>
          <w:szCs w:val="32"/>
        </w:rPr>
        <w:t>缺水率4.2%，2035年50%保证率情况下全市年缺水量将为0.6亿</w:t>
      </w:r>
      <w:r>
        <w:rPr>
          <w:rFonts w:hint="eastAsia" w:ascii="仿宋_GB2312" w:hAnsi="仿宋_GB2312" w:eastAsia="仿宋_GB2312" w:cs="仿宋_GB2312"/>
          <w:color w:val="auto"/>
          <w:spacing w:val="2"/>
          <w:sz w:val="32"/>
          <w:szCs w:val="32"/>
          <w:lang w:val="en-US" w:eastAsia="zh-CN"/>
        </w:rPr>
        <w:t>m</w:t>
      </w:r>
      <w:r>
        <w:rPr>
          <w:rFonts w:hint="eastAsia" w:ascii="仿宋_GB2312" w:hAnsi="仿宋_GB2312" w:eastAsia="仿宋_GB2312" w:cs="仿宋_GB2312"/>
          <w:color w:val="auto"/>
          <w:spacing w:val="2"/>
          <w:sz w:val="32"/>
          <w:szCs w:val="32"/>
          <w:vertAlign w:val="superscript"/>
          <w:lang w:val="en-US" w:eastAsia="zh-CN"/>
        </w:rPr>
        <w:t>3</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缺水率1.8%，水资源短缺问题仍是制约高质量发展的主要“瓶</w:t>
      </w:r>
      <w:r>
        <w:rPr>
          <w:rFonts w:hint="eastAsia" w:ascii="仿宋_GB2312" w:hAnsi="仿宋_GB2312" w:eastAsia="仿宋_GB2312" w:cs="仿宋_GB2312"/>
          <w:color w:val="auto"/>
          <w:spacing w:val="2"/>
          <w:sz w:val="32"/>
          <w:szCs w:val="32"/>
          <w:lang w:val="en-US" w:eastAsia="zh-CN"/>
        </w:rPr>
        <w:t>颈</w:t>
      </w:r>
      <w:r>
        <w:rPr>
          <w:rFonts w:hint="eastAsia" w:ascii="仿宋_GB2312" w:hAnsi="仿宋_GB2312" w:eastAsia="仿宋_GB2312" w:cs="仿宋_GB2312"/>
          <w:color w:val="auto"/>
          <w:spacing w:val="2"/>
          <w:sz w:val="32"/>
          <w:szCs w:val="32"/>
        </w:rPr>
        <w:t>”，尤其是工程性缺水问题依然突出。由于南水北调东线一期占据了我市引黄通道，替代工程引黄西线工程一直未能实施，造成我市黄河水未得到</w:t>
      </w:r>
      <w:r>
        <w:rPr>
          <w:rFonts w:hint="eastAsia" w:ascii="仿宋_GB2312" w:hAnsi="仿宋_GB2312" w:eastAsia="仿宋_GB2312" w:cs="仿宋_GB2312"/>
          <w:color w:val="auto"/>
          <w:spacing w:val="2"/>
          <w:sz w:val="32"/>
          <w:szCs w:val="32"/>
          <w:lang w:val="en-US" w:eastAsia="zh-CN"/>
        </w:rPr>
        <w:t>充分</w:t>
      </w:r>
      <w:r>
        <w:rPr>
          <w:rFonts w:hint="eastAsia" w:ascii="仿宋_GB2312" w:hAnsi="仿宋_GB2312" w:eastAsia="仿宋_GB2312" w:cs="仿宋_GB2312"/>
          <w:color w:val="auto"/>
          <w:spacing w:val="2"/>
          <w:sz w:val="32"/>
          <w:szCs w:val="32"/>
        </w:rPr>
        <w:t>利用，加剧我市水资源短缺局面；由于河、湖、库连通工程和河道</w:t>
      </w:r>
      <w:r>
        <w:rPr>
          <w:rFonts w:hint="eastAsia" w:ascii="仿宋_GB2312" w:hAnsi="仿宋_GB2312" w:eastAsia="仿宋_GB2312" w:cs="仿宋_GB2312"/>
          <w:color w:val="auto"/>
          <w:spacing w:val="2"/>
          <w:sz w:val="32"/>
          <w:szCs w:val="32"/>
          <w:lang w:val="en-US" w:eastAsia="zh-CN"/>
        </w:rPr>
        <w:t>调度</w:t>
      </w:r>
      <w:r>
        <w:rPr>
          <w:rFonts w:hint="eastAsia" w:ascii="仿宋_GB2312" w:hAnsi="仿宋_GB2312" w:eastAsia="仿宋_GB2312" w:cs="仿宋_GB2312"/>
          <w:color w:val="auto"/>
          <w:spacing w:val="2"/>
          <w:sz w:val="32"/>
          <w:szCs w:val="32"/>
        </w:rPr>
        <w:t>工程欠缺，水源调蓄控制能力不足，当地雨洪资源得不到充分利用，南四湖平均每年外排水量约17亿</w:t>
      </w:r>
      <w:r>
        <w:rPr>
          <w:rFonts w:hint="eastAsia" w:ascii="仿宋_GB2312" w:hAnsi="仿宋_GB2312" w:eastAsia="仿宋_GB2312" w:cs="仿宋_GB2312"/>
          <w:color w:val="auto"/>
          <w:spacing w:val="2"/>
          <w:sz w:val="32"/>
          <w:szCs w:val="32"/>
          <w:lang w:val="en-US" w:eastAsia="zh-CN"/>
        </w:rPr>
        <w:t>m</w:t>
      </w:r>
      <w:r>
        <w:rPr>
          <w:rFonts w:hint="eastAsia" w:ascii="仿宋_GB2312" w:hAnsi="仿宋_GB2312" w:eastAsia="仿宋_GB2312" w:cs="仿宋_GB2312"/>
          <w:color w:val="auto"/>
          <w:spacing w:val="2"/>
          <w:sz w:val="32"/>
          <w:szCs w:val="32"/>
          <w:vertAlign w:val="superscript"/>
          <w:lang w:val="en-US" w:eastAsia="zh-CN"/>
        </w:rPr>
        <w:t>3</w:t>
      </w:r>
      <w:r>
        <w:rPr>
          <w:rFonts w:hint="eastAsia" w:ascii="仿宋_GB2312" w:hAnsi="仿宋_GB2312" w:eastAsia="仿宋_GB2312" w:cs="仿宋_GB2312"/>
          <w:color w:val="auto"/>
          <w:spacing w:val="2"/>
          <w:sz w:val="32"/>
          <w:szCs w:val="32"/>
        </w:rPr>
        <w:t>以上，上级湖多年平均弃水量9.88亿</w:t>
      </w:r>
      <w:r>
        <w:rPr>
          <w:rFonts w:hint="eastAsia" w:ascii="仿宋_GB2312" w:hAnsi="仿宋_GB2312" w:eastAsia="仿宋_GB2312" w:cs="仿宋_GB2312"/>
          <w:color w:val="auto"/>
          <w:spacing w:val="2"/>
          <w:sz w:val="32"/>
          <w:szCs w:val="32"/>
          <w:lang w:val="en-US" w:eastAsia="zh-CN"/>
        </w:rPr>
        <w:t>m</w:t>
      </w:r>
      <w:r>
        <w:rPr>
          <w:rFonts w:hint="eastAsia" w:ascii="仿宋_GB2312" w:hAnsi="仿宋_GB2312" w:eastAsia="仿宋_GB2312" w:cs="仿宋_GB2312"/>
          <w:color w:val="auto"/>
          <w:spacing w:val="2"/>
          <w:sz w:val="32"/>
          <w:szCs w:val="32"/>
          <w:vertAlign w:val="superscript"/>
          <w:lang w:val="en-US" w:eastAsia="zh-CN"/>
        </w:rPr>
        <w:t>3</w:t>
      </w:r>
      <w:r>
        <w:rPr>
          <w:rFonts w:hint="eastAsia" w:ascii="仿宋_GB2312" w:hAnsi="仿宋_GB2312" w:eastAsia="仿宋_GB2312" w:cs="仿宋_GB2312"/>
          <w:color w:val="auto"/>
          <w:spacing w:val="2"/>
          <w:sz w:val="32"/>
          <w:szCs w:val="32"/>
        </w:rPr>
        <w:t>，大量雨洪水未得到充分利用。而与此同时，部分地区过度开发地下水，地下水超采区达2194km</w:t>
      </w:r>
      <w:r>
        <w:rPr>
          <w:rFonts w:hint="eastAsia" w:ascii="仿宋_GB2312" w:hAnsi="仿宋_GB2312" w:eastAsia="仿宋_GB2312" w:cs="仿宋_GB2312"/>
          <w:color w:val="auto"/>
          <w:spacing w:val="2"/>
          <w:sz w:val="32"/>
          <w:szCs w:val="32"/>
          <w:vertAlign w:val="superscript"/>
        </w:rPr>
        <w:t>2</w:t>
      </w:r>
      <w:r>
        <w:rPr>
          <w:rFonts w:hint="eastAsia" w:ascii="仿宋_GB2312" w:hAnsi="仿宋_GB2312" w:eastAsia="仿宋_GB2312" w:cs="仿宋_GB2312"/>
          <w:color w:val="auto"/>
          <w:spacing w:val="2"/>
          <w:sz w:val="32"/>
          <w:szCs w:val="32"/>
        </w:rPr>
        <w:t>。随着城镇化、工业化、农业现代化进程和生态文明建设加快，居民生活用水和生态用水将呈刚性增长，加之气候变化引起水资源系统不确定性增加，保障供水安全的压力越来越大。</w:t>
      </w:r>
    </w:p>
    <w:p>
      <w:pPr>
        <w:keepNext w:val="0"/>
        <w:keepLines w:val="0"/>
        <w:pageBreakBefore w:val="0"/>
        <w:widowControl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防洪减灾体系</w:t>
      </w:r>
      <w:r>
        <w:rPr>
          <w:rFonts w:hint="eastAsia" w:ascii="仿宋_GB2312" w:hAnsi="仿宋_GB2312" w:eastAsia="仿宋_GB2312" w:cs="仿宋_GB2312"/>
          <w:b/>
          <w:bCs/>
          <w:color w:val="auto"/>
          <w:kern w:val="0"/>
          <w:sz w:val="32"/>
          <w:szCs w:val="32"/>
          <w:lang w:val="en-US" w:eastAsia="zh-CN"/>
        </w:rPr>
        <w:t>不完善</w:t>
      </w:r>
      <w:r>
        <w:rPr>
          <w:rFonts w:hint="eastAsia" w:ascii="仿宋_GB2312" w:hAnsi="仿宋_GB2312" w:eastAsia="仿宋_GB2312" w:cs="仿宋_GB2312"/>
          <w:b/>
          <w:bCs/>
          <w:color w:val="auto"/>
          <w:kern w:val="0"/>
          <w:sz w:val="32"/>
          <w:szCs w:val="32"/>
        </w:rPr>
        <w:t>，洪水风险依然是最大威胁。</w:t>
      </w:r>
      <w:r>
        <w:rPr>
          <w:rFonts w:hint="eastAsia" w:ascii="仿宋_GB2312" w:hAnsi="仿宋_GB2312" w:eastAsia="仿宋_GB2312" w:cs="仿宋_GB2312"/>
          <w:color w:val="auto"/>
          <w:spacing w:val="2"/>
          <w:sz w:val="32"/>
          <w:szCs w:val="32"/>
        </w:rPr>
        <w:t>济宁市防洪除涝工程体系虽经多年建设，但与经济社会发展要求相比，仍存在</w:t>
      </w:r>
      <w:r>
        <w:rPr>
          <w:rFonts w:hint="eastAsia" w:ascii="仿宋_GB2312" w:hAnsi="仿宋_GB2312" w:eastAsia="仿宋_GB2312" w:cs="仿宋_GB2312"/>
          <w:color w:val="auto"/>
          <w:spacing w:val="2"/>
          <w:sz w:val="32"/>
          <w:szCs w:val="32"/>
          <w:lang w:val="en-US" w:eastAsia="zh-CN"/>
        </w:rPr>
        <w:t>以下问题</w:t>
      </w:r>
      <w:r>
        <w:rPr>
          <w:rFonts w:hint="eastAsia" w:ascii="仿宋_GB2312" w:hAnsi="仿宋_GB2312" w:eastAsia="仿宋_GB2312" w:cs="仿宋_GB2312"/>
          <w:color w:val="auto"/>
          <w:spacing w:val="2"/>
          <w:sz w:val="32"/>
          <w:szCs w:val="32"/>
        </w:rPr>
        <w:t>。</w:t>
      </w:r>
      <w:r>
        <w:rPr>
          <w:rFonts w:hint="eastAsia" w:ascii="仿宋_GB2312" w:hAnsi="仿宋_GB2312" w:eastAsia="仿宋_GB2312" w:cs="仿宋_GB2312"/>
          <w:color w:val="auto"/>
          <w:kern w:val="0"/>
          <w:sz w:val="32"/>
          <w:szCs w:val="32"/>
        </w:rPr>
        <w:t>一是湖东堤韩庄至郗山段15.3km未实施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南四湖防洪体系仍未封闭，存在较大威胁</w:t>
      </w:r>
      <w:r>
        <w:rPr>
          <w:rFonts w:hint="eastAsia" w:ascii="仿宋_GB2312" w:hAnsi="仿宋_GB2312" w:eastAsia="仿宋_GB2312" w:cs="仿宋_GB2312"/>
          <w:color w:val="auto"/>
          <w:kern w:val="0"/>
          <w:sz w:val="32"/>
          <w:szCs w:val="32"/>
        </w:rPr>
        <w:t>。二是中小河流防洪能力</w:t>
      </w:r>
      <w:r>
        <w:rPr>
          <w:rFonts w:hint="eastAsia" w:ascii="仿宋_GB2312" w:hAnsi="仿宋_GB2312" w:eastAsia="仿宋_GB2312" w:cs="仿宋_GB2312"/>
          <w:color w:val="auto"/>
          <w:kern w:val="0"/>
          <w:sz w:val="32"/>
          <w:szCs w:val="32"/>
          <w:lang w:val="en-US" w:eastAsia="zh-CN"/>
        </w:rPr>
        <w:t>仍然</w:t>
      </w:r>
      <w:r>
        <w:rPr>
          <w:rFonts w:hint="eastAsia" w:ascii="仿宋_GB2312" w:hAnsi="仿宋_GB2312" w:eastAsia="仿宋_GB2312" w:cs="仿宋_GB2312"/>
          <w:color w:val="auto"/>
          <w:kern w:val="0"/>
          <w:sz w:val="32"/>
          <w:szCs w:val="32"/>
        </w:rPr>
        <w:t>明显偏低。</w:t>
      </w:r>
      <w:r>
        <w:rPr>
          <w:rFonts w:hint="eastAsia" w:ascii="仿宋_GB2312" w:hAnsi="仿宋_GB2312" w:eastAsia="仿宋_GB2312" w:cs="仿宋_GB2312"/>
          <w:color w:val="auto"/>
          <w:kern w:val="0"/>
          <w:sz w:val="32"/>
          <w:szCs w:val="32"/>
          <w:lang w:val="en-US" w:eastAsia="zh-CN"/>
        </w:rPr>
        <w:t>区域内仅治理了骨干河道及部分中小河道，较多的</w:t>
      </w:r>
      <w:r>
        <w:rPr>
          <w:rFonts w:hint="eastAsia" w:ascii="仿宋_GB2312" w:hAnsi="仿宋_GB2312" w:eastAsia="仿宋_GB2312" w:cs="仿宋_GB2312"/>
          <w:color w:val="auto"/>
          <w:kern w:val="0"/>
          <w:sz w:val="32"/>
          <w:szCs w:val="32"/>
        </w:rPr>
        <w:t>中小河道防洪能力</w:t>
      </w:r>
      <w:r>
        <w:rPr>
          <w:rFonts w:hint="eastAsia" w:ascii="仿宋_GB2312" w:hAnsi="仿宋_GB2312" w:eastAsia="仿宋_GB2312" w:cs="仿宋_GB2312"/>
          <w:color w:val="auto"/>
          <w:kern w:val="0"/>
          <w:sz w:val="32"/>
          <w:szCs w:val="32"/>
          <w:lang w:val="en-US" w:eastAsia="zh-CN"/>
        </w:rPr>
        <w:t>仍然偏低，防洪标准</w:t>
      </w:r>
      <w:r>
        <w:rPr>
          <w:rFonts w:hint="eastAsia" w:ascii="仿宋_GB2312" w:hAnsi="仿宋_GB2312" w:eastAsia="仿宋_GB2312" w:cs="仿宋_GB2312"/>
          <w:color w:val="auto"/>
          <w:kern w:val="0"/>
          <w:sz w:val="32"/>
          <w:szCs w:val="32"/>
        </w:rPr>
        <w:t>达不到20年一遇，有待提高。三是</w:t>
      </w:r>
      <w:r>
        <w:rPr>
          <w:rFonts w:hint="eastAsia" w:ascii="仿宋_GB2312" w:hAnsi="仿宋_GB2312" w:eastAsia="仿宋_GB2312" w:cs="仿宋_GB2312"/>
          <w:color w:val="auto"/>
          <w:kern w:val="0"/>
          <w:sz w:val="32"/>
          <w:szCs w:val="32"/>
          <w:lang w:val="en-US" w:eastAsia="zh-CN"/>
        </w:rPr>
        <w:t>虽然实施了</w:t>
      </w:r>
      <w:r>
        <w:rPr>
          <w:rFonts w:hint="eastAsia" w:ascii="仿宋_GB2312" w:hAnsi="仿宋_GB2312" w:eastAsia="仿宋_GB2312" w:cs="仿宋_GB2312"/>
          <w:color w:val="auto"/>
          <w:kern w:val="0"/>
          <w:sz w:val="32"/>
          <w:szCs w:val="32"/>
        </w:rPr>
        <w:t>南四湖滨湖洼地</w:t>
      </w:r>
      <w:r>
        <w:rPr>
          <w:rFonts w:hint="eastAsia" w:ascii="仿宋_GB2312" w:hAnsi="仿宋_GB2312" w:eastAsia="仿宋_GB2312" w:cs="仿宋_GB2312"/>
          <w:color w:val="auto"/>
          <w:kern w:val="0"/>
          <w:sz w:val="32"/>
          <w:szCs w:val="32"/>
          <w:lang w:val="en-US" w:eastAsia="zh-CN"/>
        </w:rPr>
        <w:t>治理，但受投资规模现状，汶上县洼地及全市骨干排水沟配套建筑物未治理，涝洼地区</w:t>
      </w:r>
      <w:r>
        <w:rPr>
          <w:rFonts w:hint="eastAsia" w:ascii="仿宋_GB2312" w:hAnsi="仿宋_GB2312" w:eastAsia="仿宋_GB2312" w:cs="仿宋_GB2312"/>
          <w:color w:val="auto"/>
          <w:kern w:val="0"/>
          <w:sz w:val="32"/>
          <w:szCs w:val="32"/>
        </w:rPr>
        <w:t>除涝标准</w:t>
      </w:r>
      <w:r>
        <w:rPr>
          <w:rFonts w:hint="eastAsia" w:ascii="仿宋_GB2312" w:hAnsi="仿宋_GB2312" w:eastAsia="仿宋_GB2312" w:cs="仿宋_GB2312"/>
          <w:color w:val="auto"/>
          <w:kern w:val="0"/>
          <w:sz w:val="32"/>
          <w:szCs w:val="32"/>
          <w:lang w:val="en-US" w:eastAsia="zh-CN"/>
        </w:rPr>
        <w:t>仍未</w:t>
      </w:r>
      <w:r>
        <w:rPr>
          <w:rFonts w:hint="eastAsia" w:ascii="仿宋_GB2312" w:hAnsi="仿宋_GB2312" w:eastAsia="仿宋_GB2312" w:cs="仿宋_GB2312"/>
          <w:color w:val="auto"/>
          <w:kern w:val="0"/>
          <w:sz w:val="32"/>
          <w:szCs w:val="32"/>
        </w:rPr>
        <w:t>达到5年一遇。四是小型病险水库虽进行了除险加固，但受资金限制，</w:t>
      </w:r>
      <w:r>
        <w:rPr>
          <w:rFonts w:hint="eastAsia" w:ascii="仿宋_GB2312" w:hAnsi="仿宋_GB2312" w:eastAsia="仿宋_GB2312" w:cs="仿宋_GB2312"/>
          <w:color w:val="auto"/>
          <w:kern w:val="0"/>
          <w:sz w:val="32"/>
          <w:szCs w:val="32"/>
          <w:lang w:val="en-US" w:eastAsia="zh-CN"/>
        </w:rPr>
        <w:t>部分水库未进行治理，部分水库治理不全面，</w:t>
      </w:r>
      <w:r>
        <w:rPr>
          <w:rFonts w:hint="eastAsia" w:ascii="仿宋_GB2312" w:hAnsi="仿宋_GB2312" w:eastAsia="仿宋_GB2312" w:cs="仿宋_GB2312"/>
          <w:color w:val="auto"/>
          <w:kern w:val="0"/>
          <w:sz w:val="32"/>
          <w:szCs w:val="32"/>
        </w:rPr>
        <w:t>仍存在着较大安全隐患。五是城市</w:t>
      </w:r>
      <w:r>
        <w:rPr>
          <w:rFonts w:hint="eastAsia" w:ascii="仿宋_GB2312" w:hAnsi="仿宋_GB2312" w:eastAsia="仿宋_GB2312" w:cs="仿宋_GB2312"/>
          <w:color w:val="auto"/>
          <w:kern w:val="0"/>
          <w:sz w:val="32"/>
          <w:szCs w:val="32"/>
          <w:lang w:val="en-US" w:eastAsia="zh-CN"/>
        </w:rPr>
        <w:t>下垫面情况变化，城市防洪压力加大。</w:t>
      </w:r>
      <w:r>
        <w:rPr>
          <w:rFonts w:hint="eastAsia" w:ascii="仿宋_GB2312" w:hAnsi="仿宋_GB2312" w:eastAsia="仿宋_GB2312" w:cs="仿宋_GB2312"/>
          <w:color w:val="auto"/>
          <w:kern w:val="0"/>
          <w:sz w:val="32"/>
          <w:szCs w:val="32"/>
        </w:rPr>
        <w:t>城市防洪标准大都未达到国家规定标准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大面积土地硬化加大降雨径流，</w:t>
      </w:r>
      <w:r>
        <w:rPr>
          <w:rFonts w:hint="eastAsia" w:ascii="仿宋_GB2312" w:hAnsi="仿宋_GB2312" w:eastAsia="仿宋_GB2312" w:cs="仿宋_GB2312"/>
          <w:color w:val="auto"/>
          <w:kern w:val="0"/>
          <w:sz w:val="32"/>
          <w:szCs w:val="32"/>
          <w:lang w:val="en-US" w:eastAsia="zh-CN"/>
        </w:rPr>
        <w:t>增加城市排水压力</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六是防汛调度仍以传统的流量、水位进行防范，缺乏研判分析、提前谋划。覆盖全市的防汛监控调度及抗洪抢险决策指挥的信息化体系还未建立健全。尤其是近年来极端突发天气事件频发，暴雨洪水的突发性、不可预见性和灾害性大大增加，应对水旱灾害的难度日益加大。</w:t>
      </w:r>
    </w:p>
    <w:p>
      <w:pPr>
        <w:pStyle w:val="33"/>
        <w:keepNext w:val="0"/>
        <w:keepLines w:val="0"/>
        <w:pageBreakBefore w:val="0"/>
        <w:widowControl w:val="0"/>
        <w:kinsoku/>
        <w:wordWrap/>
        <w:overflowPunct/>
        <w:topLinePunct w:val="0"/>
        <w:autoSpaceDE/>
        <w:autoSpaceDN/>
        <w:bidi w:val="0"/>
        <w:adjustRightInd w:val="0"/>
        <w:snapToGrid w:val="0"/>
        <w:spacing w:line="360" w:lineRule="auto"/>
        <w:ind w:firstLine="650" w:firstLineChars="200"/>
        <w:textAlignment w:val="auto"/>
        <w:rPr>
          <w:rFonts w:hint="eastAsia" w:ascii="仿宋_GB2312" w:hAnsi="仿宋_GB2312" w:eastAsia="仿宋_GB2312" w:cs="仿宋_GB2312"/>
          <w:color w:val="auto"/>
          <w:spacing w:val="2"/>
          <w:sz w:val="32"/>
          <w:szCs w:val="32"/>
          <w:lang w:eastAsia="zh-CN"/>
        </w:rPr>
      </w:pPr>
      <w:r>
        <w:rPr>
          <w:rFonts w:hint="eastAsia" w:ascii="仿宋_GB2312" w:hAnsi="仿宋_GB2312" w:eastAsia="仿宋_GB2312" w:cs="仿宋_GB2312"/>
          <w:b/>
          <w:bCs/>
          <w:color w:val="auto"/>
          <w:spacing w:val="2"/>
          <w:sz w:val="32"/>
          <w:szCs w:val="32"/>
          <w:lang w:val="en-US" w:eastAsia="zh-CN" w:bidi="ar-SA"/>
        </w:rPr>
        <w:t>水生态环境长期积累性问题还很突出，水生态保护修复任务仍然艰巨。</w:t>
      </w:r>
      <w:r>
        <w:rPr>
          <w:rFonts w:hint="eastAsia" w:ascii="仿宋_GB2312" w:hAnsi="仿宋_GB2312" w:eastAsia="仿宋_GB2312" w:cs="仿宋_GB2312"/>
          <w:color w:val="auto"/>
          <w:spacing w:val="2"/>
          <w:sz w:val="32"/>
          <w:szCs w:val="32"/>
        </w:rPr>
        <w:t>一些地区对水土资源的过度开发，引发河道断流、地下漏斗、湿地萎缩等生态问题；作为中小河流的末端，大量农村河道萎缩，功能衰减；山丘区和风沙区水土流失依然严重；</w:t>
      </w:r>
      <w:r>
        <w:rPr>
          <w:rFonts w:hint="eastAsia" w:ascii="仿宋_GB2312" w:hAnsi="仿宋_GB2312" w:eastAsia="仿宋_GB2312" w:cs="仿宋_GB2312"/>
          <w:color w:val="auto"/>
          <w:kern w:val="0"/>
          <w:sz w:val="32"/>
          <w:szCs w:val="32"/>
        </w:rPr>
        <w:t>农村生活污水治理</w:t>
      </w:r>
      <w:r>
        <w:rPr>
          <w:rFonts w:hint="eastAsia" w:ascii="仿宋_GB2312" w:hAnsi="仿宋_GB2312" w:eastAsia="仿宋_GB2312" w:cs="仿宋_GB2312"/>
          <w:color w:val="auto"/>
          <w:kern w:val="0"/>
          <w:sz w:val="32"/>
          <w:szCs w:val="32"/>
          <w:lang w:val="en-US" w:eastAsia="zh-CN"/>
        </w:rPr>
        <w:t>基础设施欠账多，资金缺口大，治理</w:t>
      </w:r>
      <w:r>
        <w:rPr>
          <w:rFonts w:hint="eastAsia" w:ascii="仿宋_GB2312" w:hAnsi="仿宋_GB2312" w:eastAsia="仿宋_GB2312" w:cs="仿宋_GB2312"/>
          <w:color w:val="auto"/>
          <w:kern w:val="0"/>
          <w:sz w:val="32"/>
          <w:szCs w:val="32"/>
        </w:rPr>
        <w:t>任务艰巨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pacing w:val="2"/>
          <w:sz w:val="32"/>
          <w:szCs w:val="32"/>
        </w:rPr>
        <w:t>部分城市生活污水处理厂超负荷运行，污水处理能力不足；城区污水管网</w:t>
      </w:r>
      <w:r>
        <w:rPr>
          <w:rFonts w:hint="eastAsia" w:ascii="仿宋_GB2312" w:hAnsi="仿宋_GB2312" w:eastAsia="仿宋_GB2312" w:cs="仿宋_GB2312"/>
          <w:color w:val="auto"/>
          <w:spacing w:val="2"/>
          <w:sz w:val="32"/>
          <w:szCs w:val="32"/>
          <w:lang w:val="en-US" w:eastAsia="zh-CN"/>
        </w:rPr>
        <w:t>老旧问题严重</w:t>
      </w:r>
      <w:r>
        <w:rPr>
          <w:rFonts w:hint="eastAsia" w:ascii="仿宋_GB2312" w:hAnsi="仿宋_GB2312" w:eastAsia="仿宋_GB2312" w:cs="仿宋_GB2312"/>
          <w:color w:val="auto"/>
          <w:spacing w:val="2"/>
          <w:sz w:val="32"/>
          <w:szCs w:val="32"/>
        </w:rPr>
        <w:t>，管网错接、漏接现象仍然存在</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污水处理厂进水BOD浓度较低</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lang w:val="en-US" w:eastAsia="zh-CN"/>
        </w:rPr>
        <w:t>污水收集效能需进一步提升</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新老水生态环境叠加增加了治理难度，迫切需要营造人与自然和谐共生的良好生态环境</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提供更多优质生态产品，满足人民群众对健康水生态、宜居水环境的要求。</w:t>
      </w:r>
    </w:p>
    <w:p>
      <w:pPr>
        <w:pStyle w:val="33"/>
        <w:keepNext w:val="0"/>
        <w:keepLines w:val="0"/>
        <w:pageBreakBefore w:val="0"/>
        <w:widowControl w:val="0"/>
        <w:kinsoku/>
        <w:wordWrap/>
        <w:overflowPunct/>
        <w:topLinePunct w:val="0"/>
        <w:autoSpaceDE/>
        <w:autoSpaceDN/>
        <w:bidi w:val="0"/>
        <w:adjustRightInd w:val="0"/>
        <w:snapToGrid w:val="0"/>
        <w:spacing w:line="360" w:lineRule="auto"/>
        <w:ind w:firstLine="642" w:firstLineChars="200"/>
        <w:jc w:val="left"/>
        <w:textAlignment w:val="auto"/>
        <w:rPr>
          <w:rFonts w:hint="eastAsia" w:ascii="仿宋_GB2312" w:hAnsi="仿宋_GB2312" w:eastAsia="仿宋_GB2312" w:cs="仿宋_GB2312"/>
          <w:color w:val="auto"/>
          <w:spacing w:val="2"/>
          <w:sz w:val="32"/>
          <w:szCs w:val="32"/>
          <w:lang w:val="en-US" w:eastAsia="zh-CN" w:bidi="ar-SA"/>
        </w:rPr>
      </w:pPr>
      <w:r>
        <w:rPr>
          <w:rFonts w:hint="eastAsia" w:ascii="仿宋_GB2312" w:hAnsi="仿宋_GB2312" w:eastAsia="仿宋_GB2312" w:cs="仿宋_GB2312"/>
          <w:b/>
          <w:bCs/>
          <w:color w:val="auto"/>
          <w:kern w:val="0"/>
          <w:sz w:val="32"/>
          <w:szCs w:val="32"/>
          <w:lang w:val="en-US" w:eastAsia="zh-CN"/>
        </w:rPr>
        <w:t>现代水治理体系和监管体系不完善，</w:t>
      </w:r>
      <w:r>
        <w:rPr>
          <w:rFonts w:hint="eastAsia" w:ascii="仿宋_GB2312" w:hAnsi="仿宋_GB2312" w:eastAsia="仿宋_GB2312" w:cs="仿宋_GB2312"/>
          <w:b/>
          <w:bCs/>
          <w:color w:val="auto"/>
          <w:spacing w:val="2"/>
          <w:sz w:val="32"/>
          <w:szCs w:val="32"/>
        </w:rPr>
        <w:t>水务改革攻坚</w:t>
      </w:r>
      <w:r>
        <w:rPr>
          <w:rFonts w:hint="eastAsia" w:ascii="仿宋_GB2312" w:hAnsi="仿宋_GB2312" w:eastAsia="仿宋_GB2312" w:cs="仿宋_GB2312"/>
          <w:b/>
          <w:bCs/>
          <w:color w:val="auto"/>
          <w:spacing w:val="2"/>
          <w:sz w:val="32"/>
          <w:szCs w:val="32"/>
          <w:lang w:val="en-US" w:eastAsia="zh-CN"/>
        </w:rPr>
        <w:t>任重道远</w:t>
      </w:r>
      <w:r>
        <w:rPr>
          <w:rFonts w:hint="eastAsia" w:ascii="仿宋_GB2312" w:hAnsi="仿宋_GB2312" w:eastAsia="仿宋_GB2312" w:cs="仿宋_GB2312"/>
          <w:b/>
          <w:bCs/>
          <w:color w:val="auto"/>
          <w:spacing w:val="2"/>
          <w:sz w:val="32"/>
          <w:szCs w:val="32"/>
        </w:rPr>
        <w:t>。</w:t>
      </w:r>
      <w:r>
        <w:rPr>
          <w:rFonts w:hint="eastAsia" w:ascii="仿宋_GB2312" w:hAnsi="仿宋_GB2312" w:eastAsia="仿宋_GB2312" w:cs="仿宋_GB2312"/>
          <w:bCs/>
          <w:color w:val="auto"/>
          <w:spacing w:val="2"/>
          <w:sz w:val="32"/>
          <w:szCs w:val="32"/>
        </w:rPr>
        <w:t>一是城乡水务基本公共服务均等化水平有待提高。</w:t>
      </w:r>
      <w:r>
        <w:rPr>
          <w:rFonts w:hint="eastAsia" w:ascii="仿宋_GB2312" w:hAnsi="仿宋_GB2312" w:eastAsia="仿宋_GB2312" w:cs="仿宋_GB2312"/>
          <w:color w:val="auto"/>
          <w:spacing w:val="2"/>
          <w:sz w:val="32"/>
          <w:szCs w:val="32"/>
        </w:rPr>
        <w:t>济宁市水利建设项目欠发达县区配套压力大，水利投资强度高，地方配套资金到位率低，部分水利建设项目推进力度慢；农业面源污染、工业废污水、农村生活垃圾及人畜粪便等依然威胁饮水水源地安全；农村生活污水治理欠账多，资金筹措难度大，农村污水处理设施建设、运营体系尚未建立。</w:t>
      </w:r>
      <w:r>
        <w:rPr>
          <w:rFonts w:hint="eastAsia" w:ascii="仿宋_GB2312" w:hAnsi="仿宋_GB2312" w:eastAsia="仿宋_GB2312" w:cs="仿宋_GB2312"/>
          <w:color w:val="auto"/>
          <w:spacing w:val="2"/>
          <w:sz w:val="32"/>
          <w:szCs w:val="32"/>
          <w:lang w:val="en-US" w:eastAsia="zh-CN" w:bidi="ar-SA"/>
        </w:rPr>
        <w:t>二是</w:t>
      </w:r>
      <w:r>
        <w:rPr>
          <w:rFonts w:hint="eastAsia" w:ascii="仿宋_GB2312" w:hAnsi="仿宋_GB2312" w:eastAsia="仿宋_GB2312" w:cs="仿宋_GB2312"/>
          <w:bCs/>
          <w:color w:val="auto"/>
          <w:spacing w:val="2"/>
          <w:sz w:val="32"/>
          <w:szCs w:val="32"/>
          <w:lang w:val="en-US" w:eastAsia="zh-CN" w:bidi="ar-SA"/>
        </w:rPr>
        <w:t>水务网信水平有待提高。</w:t>
      </w:r>
      <w:r>
        <w:rPr>
          <w:rFonts w:hint="eastAsia" w:ascii="仿宋_GB2312" w:hAnsi="仿宋_GB2312" w:eastAsia="仿宋_GB2312" w:cs="仿宋_GB2312"/>
          <w:color w:val="auto"/>
          <w:spacing w:val="2"/>
          <w:sz w:val="32"/>
          <w:szCs w:val="32"/>
          <w:lang w:val="en-US" w:eastAsia="zh-CN" w:bidi="ar-SA"/>
        </w:rPr>
        <w:t>2019年水利部印发《智慧水利总体方案》等文件，系统谋划了水务网信发展总框架、路线图、时间表、任务书，出台智慧水利顶层设计；2020年通过了《水利信息资源共享管理办法（试行）》等审议,水务信息化短板建设逐步提速。我市水务信息化还存在感知信息采集不齐，数据挖掘不深，应用智能化水平不高等不足。</w:t>
      </w:r>
      <w:r>
        <w:rPr>
          <w:rFonts w:hint="eastAsia" w:ascii="仿宋_GB2312" w:hAnsi="仿宋_GB2312" w:eastAsia="仿宋_GB2312" w:cs="仿宋_GB2312"/>
          <w:bCs/>
          <w:color w:val="auto"/>
          <w:spacing w:val="2"/>
          <w:sz w:val="32"/>
          <w:szCs w:val="32"/>
          <w:lang w:val="en-US" w:eastAsia="zh-CN" w:bidi="ar-SA"/>
        </w:rPr>
        <w:t>三是行业监管力度尚需加强。</w:t>
      </w:r>
      <w:r>
        <w:rPr>
          <w:rFonts w:hint="eastAsia" w:ascii="仿宋_GB2312" w:hAnsi="仿宋_GB2312" w:eastAsia="仿宋_GB2312" w:cs="仿宋_GB2312"/>
          <w:color w:val="auto"/>
          <w:spacing w:val="2"/>
          <w:sz w:val="32"/>
          <w:szCs w:val="32"/>
          <w:lang w:val="zh-CN" w:eastAsia="zh-CN" w:bidi="ar-SA"/>
        </w:rPr>
        <w:t>“把</w:t>
      </w:r>
      <w:r>
        <w:rPr>
          <w:rFonts w:hint="eastAsia" w:ascii="仿宋_GB2312" w:hAnsi="仿宋_GB2312" w:eastAsia="仿宋_GB2312" w:cs="仿宋_GB2312"/>
          <w:color w:val="auto"/>
          <w:spacing w:val="2"/>
          <w:sz w:val="32"/>
          <w:szCs w:val="32"/>
          <w:lang w:val="en-US" w:eastAsia="zh-CN" w:bidi="ar-SA"/>
        </w:rPr>
        <w:t>水资源作为最大的刚性约束</w:t>
      </w:r>
      <w:r>
        <w:rPr>
          <w:rFonts w:hint="eastAsia" w:ascii="仿宋_GB2312" w:hAnsi="仿宋_GB2312" w:eastAsia="仿宋_GB2312" w:cs="仿宋_GB2312"/>
          <w:color w:val="auto"/>
          <w:spacing w:val="2"/>
          <w:sz w:val="32"/>
          <w:szCs w:val="32"/>
          <w:lang w:val="zh-CN" w:eastAsia="zh-CN" w:bidi="ar-SA"/>
        </w:rPr>
        <w:t>”任重</w:t>
      </w:r>
      <w:r>
        <w:rPr>
          <w:rFonts w:hint="eastAsia" w:ascii="仿宋_GB2312" w:hAnsi="仿宋_GB2312" w:eastAsia="仿宋_GB2312" w:cs="仿宋_GB2312"/>
          <w:color w:val="auto"/>
          <w:spacing w:val="2"/>
          <w:sz w:val="32"/>
          <w:szCs w:val="32"/>
          <w:lang w:val="en-US" w:eastAsia="zh-CN" w:bidi="ar-SA"/>
        </w:rPr>
        <w:t>道远，重要河流湖泊水量分配、生态流量管控机制尚不完善，水资源用水计量、监控能力不足，动态性、实时性信息欠缺。节水法规制度不健全；缺乏行之有效、操作性强的节水激励机制，节水内生动力不足；全社会节约用水意识还不够强。河湖</w:t>
      </w:r>
      <w:r>
        <w:rPr>
          <w:rFonts w:hint="eastAsia" w:ascii="仿宋_GB2312" w:hAnsi="仿宋_GB2312" w:eastAsia="仿宋_GB2312" w:cs="仿宋_GB2312"/>
          <w:color w:val="auto"/>
          <w:spacing w:val="2"/>
          <w:sz w:val="32"/>
          <w:szCs w:val="32"/>
          <w:lang w:val="zh-CN" w:eastAsia="zh-CN" w:bidi="ar-SA"/>
        </w:rPr>
        <w:t>“四乱”问题</w:t>
      </w:r>
      <w:r>
        <w:rPr>
          <w:rFonts w:hint="eastAsia" w:ascii="仿宋_GB2312" w:hAnsi="仿宋_GB2312" w:eastAsia="仿宋_GB2312" w:cs="仿宋_GB2312"/>
          <w:color w:val="auto"/>
          <w:spacing w:val="2"/>
          <w:sz w:val="32"/>
          <w:szCs w:val="32"/>
          <w:lang w:val="en-US" w:eastAsia="zh-CN" w:bidi="ar-SA"/>
        </w:rPr>
        <w:t>监管难度大,面临反弹压力，河湖管理保护能力与需求不适应。水利工程管理标准化、规范化程度低，良性运行机制尚不完善。水土保持社会关注度不高，仍然存在</w:t>
      </w:r>
      <w:r>
        <w:rPr>
          <w:rFonts w:hint="eastAsia" w:ascii="仿宋_GB2312" w:hAnsi="仿宋_GB2312" w:eastAsia="仿宋_GB2312" w:cs="仿宋_GB2312"/>
          <w:color w:val="auto"/>
          <w:spacing w:val="2"/>
          <w:sz w:val="32"/>
          <w:szCs w:val="32"/>
          <w:lang w:val="zh-CN" w:eastAsia="zh-CN" w:bidi="ar-SA"/>
        </w:rPr>
        <w:t>“边治</w:t>
      </w:r>
      <w:r>
        <w:rPr>
          <w:rFonts w:hint="eastAsia" w:ascii="仿宋_GB2312" w:hAnsi="仿宋_GB2312" w:eastAsia="仿宋_GB2312" w:cs="仿宋_GB2312"/>
          <w:color w:val="auto"/>
          <w:spacing w:val="2"/>
          <w:sz w:val="32"/>
          <w:szCs w:val="32"/>
          <w:lang w:val="en-US" w:eastAsia="zh-CN" w:bidi="ar-SA"/>
        </w:rPr>
        <w:t>理、边破坏”现象，个别地区水土保持违法违规行为仍突出。</w:t>
      </w:r>
      <w:bookmarkStart w:id="6" w:name="bookmark52"/>
      <w:bookmarkEnd w:id="6"/>
      <w:r>
        <w:rPr>
          <w:rFonts w:hint="eastAsia" w:ascii="仿宋_GB2312" w:hAnsi="仿宋_GB2312" w:eastAsia="仿宋_GB2312" w:cs="仿宋_GB2312"/>
          <w:color w:val="auto"/>
          <w:spacing w:val="2"/>
          <w:sz w:val="32"/>
          <w:szCs w:val="32"/>
          <w:lang w:val="en-US" w:eastAsia="zh-CN" w:bidi="ar-SA"/>
        </w:rPr>
        <w:t>四是</w:t>
      </w:r>
      <w:r>
        <w:rPr>
          <w:rFonts w:hint="eastAsia" w:ascii="仿宋_GB2312" w:hAnsi="仿宋_GB2312" w:eastAsia="仿宋_GB2312" w:cs="仿宋_GB2312"/>
          <w:bCs/>
          <w:color w:val="auto"/>
          <w:spacing w:val="2"/>
          <w:sz w:val="32"/>
          <w:szCs w:val="32"/>
          <w:lang w:val="en-US" w:eastAsia="zh-CN" w:bidi="ar-SA"/>
        </w:rPr>
        <w:t>水利改革创新需有新突破。</w:t>
      </w:r>
      <w:r>
        <w:rPr>
          <w:rFonts w:hint="eastAsia" w:ascii="仿宋_GB2312" w:hAnsi="仿宋_GB2312" w:eastAsia="仿宋_GB2312" w:cs="仿宋_GB2312"/>
          <w:color w:val="auto"/>
          <w:spacing w:val="2"/>
          <w:sz w:val="32"/>
          <w:szCs w:val="32"/>
          <w:lang w:val="en-US" w:eastAsia="zh-CN" w:bidi="ar-SA"/>
        </w:rPr>
        <w:t>水权水市场制度尚不健全，水价杠杆作用不明显,市场在资源配置中的决定性作用尚难高效发挥。“</w:t>
      </w:r>
      <w:r>
        <w:rPr>
          <w:rFonts w:hint="eastAsia" w:ascii="仿宋_GB2312" w:hAnsi="仿宋_GB2312" w:eastAsia="仿宋_GB2312" w:cs="仿宋_GB2312"/>
          <w:color w:val="auto"/>
          <w:spacing w:val="2"/>
          <w:sz w:val="32"/>
          <w:szCs w:val="32"/>
          <w:lang w:val="zh-CN" w:eastAsia="zh-CN" w:bidi="ar-SA"/>
        </w:rPr>
        <w:t>谁破</w:t>
      </w:r>
      <w:r>
        <w:rPr>
          <w:rFonts w:hint="eastAsia" w:ascii="仿宋_GB2312" w:hAnsi="仿宋_GB2312" w:eastAsia="仿宋_GB2312" w:cs="仿宋_GB2312"/>
          <w:color w:val="auto"/>
          <w:spacing w:val="2"/>
          <w:sz w:val="32"/>
          <w:szCs w:val="32"/>
          <w:lang w:val="en-US" w:eastAsia="zh-CN" w:bidi="ar-SA"/>
        </w:rPr>
        <w:t>坏、谁补偿，谁受益、谁负担”的水资源生态补偿机制没有到位，水生态保护能力不强。社会资本参与水利工程建设的意愿不强，水利建设筹资压力巨大。节约用水等法规体系尚不完善，地下水管理、水生态保护和修复等法规基础薄弱。县、乡水利专业人员缺乏,高层次水利人才不足，高层次、拔尖人才培养体系尚未建立。</w:t>
      </w:r>
    </w:p>
    <w:p>
      <w:pPr>
        <w:pStyle w:val="33"/>
        <w:keepNext w:val="0"/>
        <w:keepLines w:val="0"/>
        <w:pageBreakBefore w:val="0"/>
        <w:widowControl w:val="0"/>
        <w:kinsoku/>
        <w:wordWrap/>
        <w:overflowPunct/>
        <w:topLinePunct w:val="0"/>
        <w:autoSpaceDE/>
        <w:autoSpaceDN/>
        <w:bidi w:val="0"/>
        <w:adjustRightInd w:val="0"/>
        <w:snapToGrid w:val="0"/>
        <w:spacing w:line="360" w:lineRule="auto"/>
        <w:ind w:firstLine="648" w:firstLineChars="200"/>
        <w:jc w:val="left"/>
        <w:textAlignment w:val="auto"/>
        <w:rPr>
          <w:rFonts w:hint="eastAsia" w:ascii="仿宋_GB2312" w:hAnsi="仿宋_GB2312" w:eastAsia="仿宋_GB2312" w:cs="仿宋_GB2312"/>
          <w:color w:val="auto"/>
          <w:spacing w:val="2"/>
          <w:sz w:val="32"/>
          <w:szCs w:val="32"/>
          <w:lang w:val="en-US" w:eastAsia="zh-CN" w:bidi="ar-SA"/>
        </w:rPr>
      </w:pPr>
      <w:r>
        <w:rPr>
          <w:rFonts w:hint="eastAsia" w:ascii="仿宋_GB2312" w:hAnsi="仿宋_GB2312" w:eastAsia="仿宋_GB2312" w:cs="仿宋_GB2312"/>
          <w:color w:val="auto"/>
          <w:spacing w:val="2"/>
          <w:sz w:val="32"/>
          <w:szCs w:val="32"/>
          <w:lang w:val="en-US" w:eastAsia="zh-CN" w:bidi="ar-SA"/>
        </w:rPr>
        <w:t>总体而言，</w:t>
      </w:r>
      <w:r>
        <w:rPr>
          <w:rFonts w:hint="eastAsia" w:ascii="仿宋_GB2312" w:hAnsi="仿宋_GB2312" w:eastAsia="仿宋_GB2312" w:cs="仿宋_GB2312"/>
          <w:color w:val="auto"/>
          <w:spacing w:val="2"/>
          <w:sz w:val="32"/>
          <w:szCs w:val="32"/>
          <w:lang w:val="zh-CN" w:eastAsia="zh-CN" w:bidi="ar-SA"/>
        </w:rPr>
        <w:t>“十</w:t>
      </w:r>
      <w:r>
        <w:rPr>
          <w:rFonts w:hint="eastAsia" w:ascii="仿宋_GB2312" w:hAnsi="仿宋_GB2312" w:eastAsia="仿宋_GB2312" w:cs="仿宋_GB2312"/>
          <w:color w:val="auto"/>
          <w:spacing w:val="2"/>
          <w:sz w:val="32"/>
          <w:szCs w:val="32"/>
          <w:lang w:val="en-US" w:eastAsia="zh-CN" w:bidi="ar-SA"/>
        </w:rPr>
        <w:t>四五”时期我市正处于新老水问题</w:t>
      </w:r>
      <w:r>
        <w:rPr>
          <w:rFonts w:hint="eastAsia" w:ascii="仿宋_GB2312" w:hAnsi="仿宋_GB2312" w:eastAsia="仿宋_GB2312" w:cs="仿宋_GB2312"/>
          <w:color w:val="auto"/>
          <w:spacing w:val="2"/>
          <w:sz w:val="32"/>
          <w:szCs w:val="32"/>
          <w:lang w:val="zh-CN" w:eastAsia="zh-CN" w:bidi="ar-SA"/>
        </w:rPr>
        <w:t>“叠</w:t>
      </w:r>
      <w:r>
        <w:rPr>
          <w:rFonts w:hint="eastAsia" w:ascii="仿宋_GB2312" w:hAnsi="仿宋_GB2312" w:eastAsia="仿宋_GB2312" w:cs="仿宋_GB2312"/>
          <w:color w:val="auto"/>
          <w:spacing w:val="2"/>
          <w:sz w:val="32"/>
          <w:szCs w:val="32"/>
          <w:lang w:val="en-US" w:eastAsia="zh-CN" w:bidi="ar-SA"/>
        </w:rPr>
        <w:t>加期</w:t>
      </w:r>
      <w:r>
        <w:rPr>
          <w:rFonts w:hint="eastAsia" w:ascii="仿宋_GB2312" w:hAnsi="仿宋_GB2312" w:eastAsia="仿宋_GB2312" w:cs="仿宋_GB2312"/>
          <w:color w:val="auto"/>
          <w:spacing w:val="2"/>
          <w:sz w:val="32"/>
          <w:szCs w:val="32"/>
          <w:lang w:val="zh-CN" w:eastAsia="zh-CN" w:bidi="ar-SA"/>
        </w:rPr>
        <w:t>”、治</w:t>
      </w:r>
      <w:r>
        <w:rPr>
          <w:rFonts w:hint="eastAsia" w:ascii="仿宋_GB2312" w:hAnsi="仿宋_GB2312" w:eastAsia="仿宋_GB2312" w:cs="仿宋_GB2312"/>
          <w:color w:val="auto"/>
          <w:spacing w:val="2"/>
          <w:sz w:val="32"/>
          <w:szCs w:val="32"/>
          <w:lang w:val="en-US" w:eastAsia="zh-CN" w:bidi="ar-SA"/>
        </w:rPr>
        <w:t>水主要矛盾</w:t>
      </w:r>
      <w:r>
        <w:rPr>
          <w:rFonts w:hint="eastAsia" w:ascii="仿宋_GB2312" w:hAnsi="仿宋_GB2312" w:eastAsia="仿宋_GB2312" w:cs="仿宋_GB2312"/>
          <w:color w:val="auto"/>
          <w:spacing w:val="2"/>
          <w:sz w:val="32"/>
          <w:szCs w:val="32"/>
          <w:lang w:val="zh-CN" w:eastAsia="zh-CN" w:bidi="ar-SA"/>
        </w:rPr>
        <w:t>“转变</w:t>
      </w:r>
      <w:r>
        <w:rPr>
          <w:rFonts w:hint="eastAsia" w:ascii="仿宋_GB2312" w:hAnsi="仿宋_GB2312" w:eastAsia="仿宋_GB2312" w:cs="仿宋_GB2312"/>
          <w:color w:val="auto"/>
          <w:spacing w:val="2"/>
          <w:sz w:val="32"/>
          <w:szCs w:val="32"/>
          <w:lang w:val="en-US" w:eastAsia="zh-CN" w:bidi="ar-SA"/>
        </w:rPr>
        <w:t>期”、提升治水管水能力</w:t>
      </w:r>
      <w:r>
        <w:rPr>
          <w:rFonts w:hint="eastAsia" w:ascii="仿宋_GB2312" w:hAnsi="仿宋_GB2312" w:eastAsia="仿宋_GB2312" w:cs="仿宋_GB2312"/>
          <w:color w:val="auto"/>
          <w:spacing w:val="2"/>
          <w:sz w:val="32"/>
          <w:szCs w:val="32"/>
          <w:lang w:val="zh-CN" w:eastAsia="zh-CN" w:bidi="ar-SA"/>
        </w:rPr>
        <w:t>“攻坚</w:t>
      </w:r>
      <w:r>
        <w:rPr>
          <w:rFonts w:hint="eastAsia" w:ascii="仿宋_GB2312" w:hAnsi="仿宋_GB2312" w:eastAsia="仿宋_GB2312" w:cs="仿宋_GB2312"/>
          <w:color w:val="auto"/>
          <w:spacing w:val="2"/>
          <w:sz w:val="32"/>
          <w:szCs w:val="32"/>
          <w:lang w:val="en-US" w:eastAsia="zh-CN" w:bidi="ar-SA"/>
        </w:rPr>
        <w:t>期”，要立足人民群众对水安全保障的新期待、新要求，妥善应对水安全风险和挑战，补短板、强弱项、固根基，构建完善全市水安全保障体系。</w:t>
      </w:r>
    </w:p>
    <w:p>
      <w:pPr>
        <w:pStyle w:val="33"/>
        <w:pageBreakBefore w:val="0"/>
        <w:widowControl w:val="0"/>
        <w:kinsoku/>
        <w:wordWrap/>
        <w:overflowPunct/>
        <w:topLinePunct w:val="0"/>
        <w:autoSpaceDE/>
        <w:autoSpaceDN/>
        <w:bidi w:val="0"/>
        <w:adjustRightInd w:val="0"/>
        <w:snapToGrid w:val="0"/>
        <w:spacing w:line="360" w:lineRule="auto"/>
        <w:ind w:firstLine="648" w:firstLineChars="200"/>
        <w:jc w:val="left"/>
        <w:textAlignment w:val="auto"/>
        <w:rPr>
          <w:rFonts w:hint="eastAsia" w:ascii="仿宋_GB2312" w:hAnsi="仿宋_GB2312" w:eastAsia="仿宋_GB2312" w:cs="仿宋_GB2312"/>
          <w:color w:val="auto"/>
          <w:spacing w:val="2"/>
          <w:sz w:val="32"/>
          <w:szCs w:val="32"/>
          <w:lang w:val="en-US" w:eastAsia="zh-CN" w:bidi="ar-SA"/>
        </w:rPr>
      </w:pPr>
    </w:p>
    <w:p>
      <w:pPr>
        <w:pStyle w:val="33"/>
        <w:pageBreakBefore w:val="0"/>
        <w:widowControl w:val="0"/>
        <w:kinsoku/>
        <w:wordWrap/>
        <w:overflowPunct/>
        <w:topLinePunct w:val="0"/>
        <w:autoSpaceDE/>
        <w:autoSpaceDN/>
        <w:bidi w:val="0"/>
        <w:adjustRightInd w:val="0"/>
        <w:snapToGrid w:val="0"/>
        <w:spacing w:line="360" w:lineRule="auto"/>
        <w:ind w:firstLine="648" w:firstLineChars="200"/>
        <w:jc w:val="left"/>
        <w:textAlignment w:val="auto"/>
        <w:rPr>
          <w:rFonts w:hint="eastAsia" w:ascii="仿宋_GB2312" w:hAnsi="仿宋_GB2312" w:eastAsia="仿宋_GB2312" w:cs="仿宋_GB2312"/>
          <w:color w:val="auto"/>
          <w:spacing w:val="2"/>
          <w:sz w:val="32"/>
          <w:szCs w:val="32"/>
          <w:lang w:val="en-US" w:eastAsia="zh-CN" w:bidi="ar-SA"/>
        </w:rPr>
      </w:pPr>
    </w:p>
    <w:p>
      <w:pPr>
        <w:pStyle w:val="4"/>
        <w:pageBreakBefore w:val="0"/>
        <w:widowControl w:val="0"/>
        <w:kinsoku/>
        <w:wordWrap/>
        <w:overflowPunct/>
        <w:topLinePunct w:val="0"/>
        <w:autoSpaceDE/>
        <w:autoSpaceDN/>
        <w:bidi w:val="0"/>
        <w:adjustRightInd w:val="0"/>
        <w:snapToGrid w:val="0"/>
        <w:spacing w:beforeLines="100" w:after="0" w:line="360" w:lineRule="auto"/>
        <w:jc w:val="center"/>
        <w:textAlignment w:val="auto"/>
        <w:rPr>
          <w:rFonts w:ascii="黑体" w:hAnsi="黑体" w:eastAsia="黑体" w:cs="Times New Roman"/>
          <w:b w:val="0"/>
          <w:bCs w:val="0"/>
          <w:color w:val="auto"/>
          <w:kern w:val="2"/>
          <w:sz w:val="32"/>
          <w:szCs w:val="32"/>
        </w:rPr>
      </w:pPr>
      <w:bookmarkStart w:id="7" w:name="_Toc20629"/>
      <w:r>
        <w:rPr>
          <w:rFonts w:hint="eastAsia" w:ascii="黑体" w:hAnsi="黑体" w:eastAsia="黑体" w:cs="Times New Roman"/>
          <w:b w:val="0"/>
          <w:bCs w:val="0"/>
          <w:color w:val="auto"/>
          <w:kern w:val="2"/>
          <w:sz w:val="32"/>
          <w:szCs w:val="32"/>
        </w:rPr>
        <w:t>二、总体发展思路</w:t>
      </w:r>
      <w:bookmarkEnd w:id="7"/>
    </w:p>
    <w:p>
      <w:pPr>
        <w:pStyle w:val="5"/>
        <w:keepNext/>
        <w:keepLines/>
        <w:pageBreakBefore w:val="0"/>
        <w:widowControl w:val="0"/>
        <w:kinsoku/>
        <w:wordWrap/>
        <w:overflowPunct/>
        <w:topLinePunct w:val="0"/>
        <w:autoSpaceDE/>
        <w:autoSpaceDN/>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8" w:name="_Toc13682"/>
      <w:r>
        <w:rPr>
          <w:rFonts w:hint="eastAsia" w:ascii="楷体" w:hAnsi="楷体" w:eastAsia="楷体" w:cs="仿宋_GB2312"/>
          <w:color w:val="auto"/>
        </w:rPr>
        <w:t>（一）指导思想</w:t>
      </w:r>
      <w:bookmarkEnd w:id="8"/>
    </w:p>
    <w:p>
      <w:pPr>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以习近平新时代中国特色社会主义思想为指导，深入贯彻党的十九大和十九届二中、三中、四中、五中全会精神，坚定贯彻</w:t>
      </w:r>
      <w:r>
        <w:rPr>
          <w:rFonts w:hint="eastAsia" w:ascii="仿宋_GB2312" w:hAnsi="仿宋_GB2312" w:eastAsia="仿宋_GB2312" w:cs="仿宋_GB2312"/>
          <w:color w:val="auto"/>
          <w:sz w:val="32"/>
          <w:szCs w:val="32"/>
          <w:lang w:val="zh-CN"/>
        </w:rPr>
        <w:t>“创新</w:t>
      </w:r>
      <w:r>
        <w:rPr>
          <w:rFonts w:hint="eastAsia" w:ascii="仿宋_GB2312" w:hAnsi="仿宋_GB2312" w:eastAsia="仿宋_GB2312" w:cs="仿宋_GB2312"/>
          <w:color w:val="auto"/>
          <w:sz w:val="32"/>
          <w:szCs w:val="32"/>
        </w:rPr>
        <w:t>、协调、绿色、开放、共享”新发展理念和</w:t>
      </w:r>
      <w:r>
        <w:rPr>
          <w:rFonts w:hint="eastAsia" w:ascii="仿宋_GB2312" w:hAnsi="仿宋_GB2312" w:eastAsia="仿宋_GB2312" w:cs="仿宋_GB2312"/>
          <w:color w:val="auto"/>
          <w:sz w:val="32"/>
          <w:szCs w:val="32"/>
          <w:lang w:val="zh-CN"/>
        </w:rPr>
        <w:t>“节水</w:t>
      </w:r>
      <w:r>
        <w:rPr>
          <w:rFonts w:hint="eastAsia" w:ascii="仿宋_GB2312" w:hAnsi="仿宋_GB2312" w:eastAsia="仿宋_GB2312" w:cs="仿宋_GB2312"/>
          <w:color w:val="auto"/>
          <w:sz w:val="32"/>
          <w:szCs w:val="32"/>
        </w:rPr>
        <w:t>优先、空间均衡、系统治理、两手发力”治水思路，积极对接南水北调</w:t>
      </w:r>
      <w:r>
        <w:rPr>
          <w:rFonts w:hint="eastAsia" w:ascii="仿宋_GB2312" w:hAnsi="仿宋_GB2312" w:eastAsia="仿宋_GB2312" w:cs="仿宋_GB2312"/>
          <w:color w:val="auto"/>
          <w:sz w:val="32"/>
          <w:szCs w:val="32"/>
          <w:lang w:val="en-US" w:eastAsia="zh-CN"/>
        </w:rPr>
        <w:t>后续工程</w:t>
      </w:r>
      <w:r>
        <w:rPr>
          <w:rFonts w:hint="eastAsia" w:ascii="仿宋_GB2312" w:hAnsi="仿宋_GB2312" w:eastAsia="仿宋_GB2312" w:cs="仿宋_GB2312"/>
          <w:color w:val="auto"/>
          <w:sz w:val="32"/>
          <w:szCs w:val="32"/>
        </w:rPr>
        <w:t>、南四湖生态保护与高质量发展、大运河文</w:t>
      </w:r>
      <w:r>
        <w:rPr>
          <w:rFonts w:hint="eastAsia" w:ascii="仿宋_GB2312" w:hAnsi="仿宋_GB2312" w:eastAsia="仿宋_GB2312" w:cs="仿宋_GB2312"/>
          <w:color w:val="auto"/>
          <w:kern w:val="0"/>
          <w:sz w:val="32"/>
          <w:szCs w:val="32"/>
        </w:rPr>
        <w:t>化保护传承利用、黄河流域生态保护与高质量发展等国家战略，坚持科学、精准、生态、智慧、协同同向发力，</w:t>
      </w:r>
      <w:r>
        <w:rPr>
          <w:rFonts w:ascii="仿宋_GB2312" w:hAnsi="仿宋_GB2312" w:eastAsia="仿宋_GB2312" w:cs="仿宋_GB2312"/>
          <w:color w:val="auto"/>
          <w:kern w:val="0"/>
          <w:sz w:val="32"/>
          <w:szCs w:val="32"/>
        </w:rPr>
        <w:t>实施严节水、保供水、防洪水、排涝水、治污水、强蓄水“六水”共治，地表水、地下水、黄河水、长江水、非常规水“五水”并用，构建可靠的水资源保障、安全的防洪排涝、健康的水系生态、高效的水务管理</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智慧的水务信息化“五大”体系</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为济宁经济社会高质量发展提供强力支撑和保障。</w:t>
      </w:r>
    </w:p>
    <w:p>
      <w:pPr>
        <w:pStyle w:val="5"/>
        <w:keepNext/>
        <w:keepLines/>
        <w:pageBreakBefore w:val="0"/>
        <w:widowControl w:val="0"/>
        <w:kinsoku/>
        <w:wordWrap/>
        <w:overflowPunct/>
        <w:topLinePunct w:val="0"/>
        <w:autoSpaceDE/>
        <w:autoSpaceDN/>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9" w:name="_Toc30684"/>
      <w:bookmarkStart w:id="10" w:name="_Toc11838"/>
      <w:bookmarkStart w:id="11" w:name="_Toc6394"/>
      <w:bookmarkStart w:id="12" w:name="_Toc5815"/>
      <w:r>
        <w:rPr>
          <w:rFonts w:hint="eastAsia" w:ascii="楷体" w:hAnsi="楷体" w:eastAsia="楷体" w:cs="仿宋_GB2312"/>
          <w:color w:val="auto"/>
        </w:rPr>
        <w:t>（二）基本原则</w:t>
      </w:r>
      <w:bookmarkEnd w:id="9"/>
      <w:bookmarkEnd w:id="10"/>
      <w:bookmarkEnd w:id="11"/>
    </w:p>
    <w:p>
      <w:pPr>
        <w:pageBreakBefore w:val="0"/>
        <w:widowControl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一是坚持党的全面领导。</w:t>
      </w:r>
      <w:r>
        <w:rPr>
          <w:rFonts w:hint="eastAsia" w:ascii="仿宋_GB2312" w:hAnsi="仿宋_GB2312" w:eastAsia="仿宋_GB2312" w:cs="仿宋_GB2312"/>
          <w:sz w:val="32"/>
          <w:szCs w:val="32"/>
        </w:rPr>
        <w:t>坚持和加强党对水利工作的集中统一领导，增强</w:t>
      </w:r>
      <w:r>
        <w:rPr>
          <w:rFonts w:hint="eastAsia" w:ascii="仿宋_GB2312" w:hAnsi="仿宋_GB2312" w:eastAsia="仿宋_GB2312" w:cs="仿宋_GB2312"/>
          <w:sz w:val="32"/>
          <w:szCs w:val="32"/>
          <w:lang w:val="zh-CN"/>
        </w:rPr>
        <w:t>“四</w:t>
      </w:r>
      <w:r>
        <w:rPr>
          <w:rFonts w:hint="eastAsia" w:ascii="仿宋_GB2312" w:hAnsi="仿宋_GB2312" w:eastAsia="仿宋_GB2312" w:cs="仿宋_GB2312"/>
          <w:sz w:val="32"/>
          <w:szCs w:val="32"/>
        </w:rPr>
        <w:t>个意识”、坚定</w:t>
      </w:r>
      <w:r>
        <w:rPr>
          <w:rFonts w:hint="eastAsia" w:ascii="仿宋_GB2312" w:hAnsi="仿宋_GB2312" w:eastAsia="仿宋_GB2312" w:cs="仿宋_GB2312"/>
          <w:sz w:val="32"/>
          <w:szCs w:val="32"/>
          <w:lang w:val="zh-CN"/>
        </w:rPr>
        <w:t>“四</w:t>
      </w:r>
      <w:r>
        <w:rPr>
          <w:rFonts w:hint="eastAsia" w:ascii="仿宋_GB2312" w:hAnsi="仿宋_GB2312" w:eastAsia="仿宋_GB2312" w:cs="仿宋_GB2312"/>
          <w:sz w:val="32"/>
          <w:szCs w:val="32"/>
        </w:rPr>
        <w:t>个自信”、做到</w:t>
      </w:r>
      <w:r>
        <w:rPr>
          <w:rFonts w:hint="eastAsia" w:ascii="仿宋_GB2312" w:hAnsi="仿宋_GB2312" w:eastAsia="仿宋_GB2312" w:cs="仿宋_GB2312"/>
          <w:sz w:val="32"/>
          <w:szCs w:val="32"/>
          <w:lang w:val="zh-CN"/>
        </w:rPr>
        <w:t>“两</w:t>
      </w:r>
      <w:r>
        <w:rPr>
          <w:rFonts w:hint="eastAsia" w:ascii="仿宋_GB2312" w:hAnsi="仿宋_GB2312" w:eastAsia="仿宋_GB2312" w:cs="仿宋_GB2312"/>
          <w:sz w:val="32"/>
          <w:szCs w:val="32"/>
        </w:rPr>
        <w:t>个维护”，在党的领导下谋划</w:t>
      </w:r>
      <w:r>
        <w:rPr>
          <w:rFonts w:hint="eastAsia" w:ascii="仿宋_GB2312" w:hAnsi="仿宋_GB2312" w:eastAsia="仿宋_GB2312" w:cs="仿宋_GB2312"/>
          <w:sz w:val="32"/>
          <w:szCs w:val="32"/>
          <w:lang w:val="zh-CN"/>
        </w:rPr>
        <w:t>“十</w:t>
      </w:r>
      <w:r>
        <w:rPr>
          <w:rFonts w:hint="eastAsia" w:ascii="仿宋_GB2312" w:hAnsi="仿宋_GB2312" w:eastAsia="仿宋_GB2312" w:cs="仿宋_GB2312"/>
          <w:sz w:val="32"/>
          <w:szCs w:val="32"/>
        </w:rPr>
        <w:t>四五”水利改革发展，不断提高贯彻新发展理念、构建新发展格局能力和水平，为实现高质量发展提供根本保证。</w:t>
      </w:r>
    </w:p>
    <w:p>
      <w:pPr>
        <w:pageBreakBefore w:val="0"/>
        <w:widowControl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二是坚持</w:t>
      </w:r>
      <w:r>
        <w:rPr>
          <w:rFonts w:hint="eastAsia" w:ascii="仿宋_GB2312" w:hAnsi="仿宋_GB2312" w:eastAsia="仿宋_GB2312" w:cs="仿宋_GB2312"/>
          <w:b/>
          <w:sz w:val="32"/>
          <w:szCs w:val="32"/>
          <w:lang w:val="en-US" w:eastAsia="zh-CN"/>
        </w:rPr>
        <w:t>以人民为中心</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牢固树立以人民为中心的发展思想，紧紧围绕人民群众对防洪保安全、优质水资源、健康水生态、宜居水环境、先进水文化的需求，把增进民生福祉作为水利改革发展的出发点和落脚点，推动水利基本公共服务均等化，增强人民群众的获得感、幸福感。</w:t>
      </w:r>
    </w:p>
    <w:p>
      <w:pPr>
        <w:pageBreakBefore w:val="0"/>
        <w:widowControl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三是坚持</w:t>
      </w:r>
      <w:r>
        <w:rPr>
          <w:rFonts w:hint="eastAsia" w:ascii="仿宋_GB2312" w:hAnsi="仿宋_GB2312" w:eastAsia="仿宋_GB2312" w:cs="仿宋_GB2312"/>
          <w:b/>
          <w:sz w:val="32"/>
          <w:szCs w:val="32"/>
          <w:lang w:val="en-US" w:eastAsia="zh-CN"/>
        </w:rPr>
        <w:t>水资源节约集约利用。</w:t>
      </w:r>
      <w:r>
        <w:rPr>
          <w:rFonts w:hint="eastAsia" w:ascii="仿宋_GB2312" w:hAnsi="仿宋_GB2312" w:eastAsia="仿宋_GB2312" w:cs="仿宋_GB2312"/>
          <w:sz w:val="32"/>
          <w:szCs w:val="32"/>
        </w:rPr>
        <w:t>按</w:t>
      </w:r>
      <w:r>
        <w:rPr>
          <w:rFonts w:hint="eastAsia" w:ascii="仿宋_GB2312" w:hAnsi="仿宋_GB2312" w:eastAsia="仿宋_GB2312" w:cs="仿宋_GB2312"/>
          <w:color w:val="auto"/>
          <w:sz w:val="32"/>
          <w:szCs w:val="32"/>
        </w:rPr>
        <w:t>照“</w:t>
      </w:r>
      <w:r>
        <w:rPr>
          <w:rFonts w:hint="eastAsia" w:ascii="仿宋_GB2312" w:hAnsi="仿宋_GB2312" w:eastAsia="仿宋_GB2312" w:cs="仿宋_GB2312"/>
          <w:color w:val="auto"/>
          <w:sz w:val="32"/>
          <w:szCs w:val="32"/>
          <w:lang w:eastAsia="zh-CN"/>
        </w:rPr>
        <w:t>以水定城、</w:t>
      </w:r>
      <w:r>
        <w:rPr>
          <w:rFonts w:hint="eastAsia" w:ascii="仿宋_GB2312" w:hAnsi="仿宋_GB2312" w:eastAsia="仿宋_GB2312" w:cs="仿宋_GB2312"/>
          <w:color w:val="auto"/>
          <w:sz w:val="32"/>
          <w:szCs w:val="32"/>
          <w:lang w:val="en-US" w:eastAsia="zh-CN"/>
        </w:rPr>
        <w:t>以水定地、以水定人、以水定产</w:t>
      </w:r>
      <w:r>
        <w:rPr>
          <w:rFonts w:hint="eastAsia" w:ascii="仿宋_GB2312" w:hAnsi="仿宋_GB2312" w:eastAsia="仿宋_GB2312" w:cs="仿宋_GB2312"/>
          <w:color w:val="auto"/>
          <w:sz w:val="32"/>
          <w:szCs w:val="32"/>
        </w:rPr>
        <w:t>”的原则，严格落实节水</w:t>
      </w:r>
      <w:r>
        <w:rPr>
          <w:rFonts w:hint="eastAsia" w:ascii="仿宋_GB2312" w:hAnsi="仿宋_GB2312" w:eastAsia="仿宋_GB2312" w:cs="仿宋_GB2312"/>
          <w:sz w:val="32"/>
          <w:szCs w:val="32"/>
        </w:rPr>
        <w:t>优先，全面促进水资源节约集约利用，倒逼经济社会转型发展，以供定需、量水而行。提高水资源要素与其他经济社会要素的适配性，遏制水资源过度开发利用，将水资源作为最大刚性约束，促进经济社会发展布局与水资源条件相匹配。</w:t>
      </w:r>
    </w:p>
    <w:p>
      <w:pPr>
        <w:pageBreakBefore w:val="0"/>
        <w:widowControl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四是坚持</w:t>
      </w:r>
      <w:r>
        <w:rPr>
          <w:rFonts w:hint="eastAsia" w:ascii="仿宋_GB2312" w:hAnsi="仿宋_GB2312" w:eastAsia="仿宋_GB2312" w:cs="仿宋_GB2312"/>
          <w:b/>
          <w:sz w:val="32"/>
          <w:szCs w:val="32"/>
          <w:lang w:val="en-US" w:eastAsia="zh-CN"/>
        </w:rPr>
        <w:t>人水和谐</w:t>
      </w:r>
      <w:r>
        <w:rPr>
          <w:rFonts w:hint="eastAsia" w:ascii="仿宋_GB2312" w:hAnsi="仿宋_GB2312" w:eastAsia="仿宋_GB2312" w:cs="仿宋_GB2312"/>
          <w:b/>
          <w:sz w:val="32"/>
          <w:szCs w:val="32"/>
        </w:rPr>
        <w:t>绿色发展。</w:t>
      </w:r>
      <w:r>
        <w:rPr>
          <w:rFonts w:hint="eastAsia" w:ascii="仿宋_GB2312" w:hAnsi="仿宋_GB2312" w:eastAsia="仿宋_GB2312" w:cs="仿宋_GB2312"/>
          <w:sz w:val="32"/>
          <w:szCs w:val="32"/>
        </w:rPr>
        <w:t>树立和践行绿水青山就是金山银山的</w:t>
      </w:r>
      <w:r>
        <w:rPr>
          <w:rFonts w:hint="eastAsia" w:ascii="仿宋_GB2312" w:hAnsi="仿宋_GB2312" w:eastAsia="仿宋_GB2312" w:cs="仿宋_GB2312"/>
          <w:sz w:val="32"/>
          <w:szCs w:val="32"/>
          <w:lang w:val="en-US" w:eastAsia="zh-CN"/>
        </w:rPr>
        <w:t>思想</w:t>
      </w:r>
      <w:r>
        <w:rPr>
          <w:rFonts w:hint="eastAsia" w:ascii="仿宋_GB2312" w:hAnsi="仿宋_GB2312" w:eastAsia="仿宋_GB2312" w:cs="仿宋_GB2312"/>
          <w:sz w:val="32"/>
          <w:szCs w:val="32"/>
        </w:rPr>
        <w:t>，调整行为方式，统筹解决河湖水资源、水安全、水环境、水生态问题，积极提升水环境质量，使河湖宁静、和谐、美丽，实现水清河畅、岸绿景美、河湖安澜。</w:t>
      </w:r>
    </w:p>
    <w:p>
      <w:pPr>
        <w:pStyle w:val="33"/>
        <w:pageBreakBefore w:val="0"/>
        <w:widowControl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val="en-US" w:eastAsia="zh-CN"/>
        </w:rPr>
        <w:t>五是</w:t>
      </w:r>
      <w:r>
        <w:rPr>
          <w:rFonts w:hint="eastAsia" w:ascii="仿宋_GB2312" w:hAnsi="仿宋_GB2312" w:eastAsia="仿宋_GB2312" w:cs="仿宋_GB2312"/>
          <w:b/>
          <w:sz w:val="32"/>
          <w:szCs w:val="32"/>
          <w:lang w:eastAsia="zh-CN"/>
        </w:rPr>
        <w:t>坚持统筹兼顾系统治理。</w:t>
      </w:r>
      <w:r>
        <w:rPr>
          <w:rFonts w:hint="eastAsia" w:ascii="仿宋_GB2312" w:hAnsi="仿宋_GB2312" w:eastAsia="仿宋_GB2312" w:cs="仿宋_GB2312"/>
          <w:sz w:val="32"/>
          <w:szCs w:val="32"/>
          <w:lang w:val="en-US" w:eastAsia="zh-CN" w:bidi="ar-SA"/>
        </w:rPr>
        <w:t>用系统思维统筹山水林田湖草沙综合治理，完善政府负责、社会协同、公众参与、法治保障的水治理体制。与市</w:t>
      </w:r>
      <w:r>
        <w:rPr>
          <w:rFonts w:hint="eastAsia" w:ascii="仿宋_GB2312" w:hAnsi="仿宋_GB2312" w:eastAsia="仿宋_GB2312" w:cs="仿宋_GB2312"/>
          <w:sz w:val="32"/>
          <w:szCs w:val="32"/>
          <w:lang w:val="zh-CN" w:eastAsia="zh-CN" w:bidi="ar-SA"/>
        </w:rPr>
        <w:t>“十</w:t>
      </w:r>
      <w:r>
        <w:rPr>
          <w:rFonts w:hint="eastAsia" w:ascii="仿宋_GB2312" w:hAnsi="仿宋_GB2312" w:eastAsia="仿宋_GB2312" w:cs="仿宋_GB2312"/>
          <w:sz w:val="32"/>
          <w:szCs w:val="32"/>
          <w:lang w:val="en-US" w:eastAsia="zh-CN" w:bidi="ar-SA"/>
        </w:rPr>
        <w:t>四五”发展规划、国土空间规划、区域发展规划等充分衔接，统筹协调流域区域发展，兼顾上下游、左右岸、干支流统筹发展；</w:t>
      </w:r>
      <w:r>
        <w:rPr>
          <w:rFonts w:hint="eastAsia" w:ascii="仿宋_GB2312" w:hAnsi="仿宋_GB2312" w:eastAsia="仿宋_GB2312" w:cs="仿宋_GB2312"/>
          <w:sz w:val="32"/>
          <w:szCs w:val="32"/>
          <w:lang w:eastAsia="zh-CN"/>
        </w:rPr>
        <w:t>坚持兴利与除害、开发与保护、工程措施与非工程措施并重，充分考虑防洪、排涝、供水、灌溉、生态等方面的需求，统筹解决水资源短缺、水灾害威胁、水生态退化等水问题。</w:t>
      </w:r>
    </w:p>
    <w:p>
      <w:pPr>
        <w:pStyle w:val="5"/>
        <w:pageBreakBefore w:val="0"/>
        <w:widowControl w:val="0"/>
        <w:kinsoku/>
        <w:wordWrap/>
        <w:overflowPunct/>
        <w:topLinePunct w:val="0"/>
        <w:autoSpaceDE/>
        <w:autoSpaceDN/>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13" w:name="_Toc3272"/>
      <w:r>
        <w:rPr>
          <w:rFonts w:hint="eastAsia" w:ascii="楷体" w:hAnsi="楷体" w:eastAsia="楷体" w:cs="仿宋_GB2312"/>
          <w:color w:val="auto"/>
        </w:rPr>
        <w:t>（</w:t>
      </w:r>
      <w:r>
        <w:rPr>
          <w:rFonts w:hint="eastAsia" w:ascii="楷体" w:hAnsi="楷体" w:eastAsia="楷体" w:cs="仿宋_GB2312"/>
          <w:color w:val="auto"/>
          <w:lang w:val="en-US" w:eastAsia="zh-CN"/>
        </w:rPr>
        <w:t>三</w:t>
      </w:r>
      <w:r>
        <w:rPr>
          <w:rFonts w:hint="eastAsia" w:ascii="楷体" w:hAnsi="楷体" w:eastAsia="楷体" w:cs="仿宋_GB2312"/>
          <w:color w:val="auto"/>
        </w:rPr>
        <w:t>）发展目标</w:t>
      </w:r>
      <w:bookmarkEnd w:id="12"/>
      <w:bookmarkEnd w:id="13"/>
    </w:p>
    <w:p>
      <w:pPr>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四五”期间，全市将建成与经济社会发展要求相适应的水旱灾害防御体系、水资源优化配置和高效利用体系、水资源保护和健康的水生态文明体系、有利于水利科学发展的现代水管理体系，水利基础设施网络进一步完善，逐步实现水治理体系和治理能力现代化。</w:t>
      </w:r>
    </w:p>
    <w:p>
      <w:pPr>
        <w:pageBreakBefore w:val="0"/>
        <w:widowControl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（1）水旱灾害防御目标。</w:t>
      </w:r>
      <w:r>
        <w:rPr>
          <w:rFonts w:hint="eastAsia" w:ascii="仿宋_GB2312" w:hAnsi="仿宋_GB2312" w:eastAsia="仿宋_GB2312" w:cs="仿宋_GB2312"/>
          <w:color w:val="auto"/>
          <w:kern w:val="0"/>
          <w:sz w:val="32"/>
          <w:szCs w:val="32"/>
        </w:rPr>
        <w:t>健全水旱灾害防御指挥调度体系。南四湖整体防洪标准达到50年一遇，骨干河道防洪标准达到国家规定标准，城市防洪排涝能力显著增强，基本建立安全达标的防洪减灾体系，超标准洪水可以科学处置。</w:t>
      </w:r>
    </w:p>
    <w:p>
      <w:pPr>
        <w:pageBreakBefore w:val="0"/>
        <w:widowControl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（2）水资源高效利用目标。</w:t>
      </w:r>
      <w:r>
        <w:rPr>
          <w:rFonts w:hint="eastAsia" w:ascii="仿宋_GB2312" w:hAnsi="仿宋_GB2312" w:eastAsia="仿宋_GB2312" w:cs="仿宋_GB2312"/>
          <w:color w:val="auto"/>
          <w:kern w:val="0"/>
          <w:sz w:val="32"/>
          <w:szCs w:val="32"/>
        </w:rPr>
        <w:t>全市将建立多水源供水体系，正常年份各县、市、区基本实现水资源供需平衡，满足生活、生产、生态用水需求；基本形成绿色生产生活方式，全社会用水效率达到国内领先水平。全市用水总量控制在27.</w:t>
      </w:r>
      <w:r>
        <w:rPr>
          <w:rFonts w:hint="eastAsia" w:ascii="仿宋_GB2312" w:hAnsi="仿宋_GB2312" w:eastAsia="仿宋_GB2312" w:cs="仿宋_GB2312"/>
          <w:color w:val="auto"/>
          <w:kern w:val="0"/>
          <w:sz w:val="32"/>
          <w:szCs w:val="32"/>
          <w:lang w:val="en-US" w:eastAsia="zh-CN"/>
        </w:rPr>
        <w:t>60</w:t>
      </w:r>
      <w:r>
        <w:rPr>
          <w:rFonts w:hint="eastAsia" w:ascii="仿宋_GB2312" w:hAnsi="仿宋_GB2312" w:eastAsia="仿宋_GB2312" w:cs="仿宋_GB2312"/>
          <w:color w:val="auto"/>
          <w:kern w:val="0"/>
          <w:sz w:val="32"/>
          <w:szCs w:val="32"/>
        </w:rPr>
        <w:t>亿</w:t>
      </w:r>
      <w:r>
        <w:rPr>
          <w:rFonts w:hint="eastAsia" w:ascii="仿宋_GB2312" w:hAnsi="仿宋_GB2312" w:eastAsia="仿宋_GB2312" w:cs="仿宋_GB2312"/>
          <w:color w:val="auto"/>
          <w:kern w:val="0"/>
          <w:sz w:val="32"/>
          <w:szCs w:val="32"/>
          <w:lang w:val="en-US" w:eastAsia="zh-CN"/>
        </w:rPr>
        <w:t>m</w:t>
      </w:r>
      <w:r>
        <w:rPr>
          <w:rFonts w:hint="eastAsia" w:ascii="仿宋_GB2312" w:hAnsi="仿宋_GB2312" w:eastAsia="仿宋_GB2312" w:cs="仿宋_GB2312"/>
          <w:color w:val="auto"/>
          <w:kern w:val="0"/>
          <w:sz w:val="32"/>
          <w:szCs w:val="32"/>
          <w:vertAlign w:val="superscript"/>
          <w:lang w:val="en-US" w:eastAsia="zh-CN"/>
        </w:rPr>
        <w:t>3</w:t>
      </w:r>
      <w:r>
        <w:rPr>
          <w:rFonts w:hint="eastAsia" w:ascii="仿宋_GB2312" w:hAnsi="仿宋_GB2312" w:eastAsia="仿宋_GB2312" w:cs="仿宋_GB2312"/>
          <w:color w:val="auto"/>
          <w:kern w:val="0"/>
          <w:sz w:val="32"/>
          <w:szCs w:val="32"/>
        </w:rPr>
        <w:t>，新增节水1.5亿</w:t>
      </w:r>
      <w:r>
        <w:rPr>
          <w:rFonts w:hint="eastAsia" w:ascii="仿宋_GB2312" w:hAnsi="仿宋_GB2312" w:eastAsia="仿宋_GB2312" w:cs="仿宋_GB2312"/>
          <w:color w:val="auto"/>
          <w:kern w:val="0"/>
          <w:sz w:val="32"/>
          <w:szCs w:val="32"/>
          <w:lang w:val="en-US" w:eastAsia="zh-CN"/>
        </w:rPr>
        <w:t>m</w:t>
      </w:r>
      <w:r>
        <w:rPr>
          <w:rFonts w:hint="eastAsia" w:ascii="仿宋_GB2312" w:hAnsi="仿宋_GB2312" w:eastAsia="仿宋_GB2312" w:cs="仿宋_GB2312"/>
          <w:color w:val="auto"/>
          <w:kern w:val="0"/>
          <w:sz w:val="32"/>
          <w:szCs w:val="32"/>
          <w:vertAlign w:val="superscript"/>
          <w:lang w:val="en-US" w:eastAsia="zh-CN"/>
        </w:rPr>
        <w:t>3</w:t>
      </w:r>
      <w:r>
        <w:rPr>
          <w:rFonts w:hint="eastAsia" w:ascii="仿宋_GB2312" w:hAnsi="仿宋_GB2312" w:eastAsia="仿宋_GB2312" w:cs="仿宋_GB2312"/>
          <w:color w:val="auto"/>
          <w:kern w:val="0"/>
          <w:sz w:val="32"/>
          <w:szCs w:val="32"/>
        </w:rPr>
        <w:t>。</w:t>
      </w:r>
    </w:p>
    <w:p>
      <w:pPr>
        <w:pageBreakBefore w:val="0"/>
        <w:widowControl w:val="0"/>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（3）水生态文明建设目标。</w:t>
      </w:r>
      <w:r>
        <w:rPr>
          <w:rFonts w:hint="eastAsia" w:ascii="仿宋_GB2312" w:hAnsi="仿宋_GB2312" w:eastAsia="仿宋_GB2312" w:cs="仿宋_GB2312"/>
          <w:color w:val="auto"/>
          <w:kern w:val="0"/>
          <w:sz w:val="32"/>
          <w:szCs w:val="32"/>
        </w:rPr>
        <w:t>大型河道和穿越城镇、重点经济区、旅游区河流保有生态水量，重点河流全面恢复水环境功能，水环境生态系统基本得到修复。农村生活污水治理取得显著成效。</w:t>
      </w:r>
    </w:p>
    <w:p>
      <w:pPr>
        <w:pageBreakBefore w:val="0"/>
        <w:widowControl w:val="0"/>
        <w:kinsoku/>
        <w:wordWrap/>
        <w:overflowPunct/>
        <w:topLinePunct w:val="0"/>
        <w:autoSpaceDE/>
        <w:autoSpaceDN/>
        <w:bidi w:val="0"/>
        <w:adjustRightInd w:val="0"/>
        <w:snapToGrid w:val="0"/>
        <w:spacing w:line="360" w:lineRule="auto"/>
        <w:ind w:firstLine="642"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（4）水管理改革目标。</w:t>
      </w:r>
      <w:r>
        <w:rPr>
          <w:rFonts w:hint="eastAsia" w:ascii="仿宋_GB2312" w:hAnsi="仿宋_GB2312" w:eastAsia="仿宋_GB2312" w:cs="仿宋_GB2312"/>
          <w:color w:val="auto"/>
          <w:kern w:val="0"/>
          <w:sz w:val="32"/>
          <w:szCs w:val="32"/>
          <w:lang w:val="en-US" w:eastAsia="zh-CN"/>
        </w:rPr>
        <w:t>基本</w:t>
      </w:r>
      <w:r>
        <w:rPr>
          <w:rFonts w:hint="eastAsia" w:ascii="仿宋_GB2312" w:hAnsi="仿宋_GB2312" w:eastAsia="仿宋_GB2312" w:cs="仿宋_GB2312"/>
          <w:color w:val="auto"/>
          <w:kern w:val="0"/>
          <w:sz w:val="32"/>
          <w:szCs w:val="32"/>
        </w:rPr>
        <w:t>建立起现代水管理体系，水管理机制富有效率、充满活力</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部分地区和部分领域基本实现水务现代化。</w:t>
      </w:r>
    </w:p>
    <w:p>
      <w:pPr>
        <w:pStyle w:val="2"/>
        <w:pageBreakBefore w:val="0"/>
        <w:widowControl w:val="0"/>
        <w:kinsoku/>
        <w:wordWrap/>
        <w:overflowPunct/>
        <w:topLinePunct w:val="0"/>
        <w:autoSpaceDE/>
        <w:autoSpaceDN/>
        <w:bidi w:val="0"/>
        <w:adjustRightInd w:val="0"/>
        <w:snapToGrid w:val="0"/>
        <w:spacing w:line="360" w:lineRule="auto"/>
        <w:ind w:left="0" w:firstLine="643"/>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（5）城市生活污水处理目标。</w:t>
      </w:r>
      <w:r>
        <w:rPr>
          <w:rFonts w:hint="eastAsia" w:ascii="仿宋_GB2312" w:hAnsi="仿宋_GB2312" w:eastAsia="仿宋_GB2312" w:cs="仿宋_GB2312"/>
          <w:color w:val="auto"/>
          <w:kern w:val="0"/>
          <w:sz w:val="32"/>
          <w:szCs w:val="32"/>
        </w:rPr>
        <w:t>建立健全全面、系统、科学的污水处理监管体系，不断提高城市生活污水收集率和处理率。全市新增污水处理能力25万吨/</w:t>
      </w:r>
      <w:r>
        <w:rPr>
          <w:rFonts w:hint="eastAsia" w:ascii="仿宋_GB2312" w:hAnsi="仿宋_GB2312" w:eastAsia="仿宋_GB2312" w:cs="仿宋_GB2312"/>
          <w:color w:val="auto"/>
          <w:kern w:val="0"/>
          <w:sz w:val="32"/>
          <w:szCs w:val="32"/>
          <w:lang w:val="en-US" w:eastAsia="zh-CN"/>
        </w:rPr>
        <w:t>日</w:t>
      </w:r>
      <w:r>
        <w:rPr>
          <w:rFonts w:hint="eastAsia" w:ascii="仿宋_GB2312" w:hAnsi="仿宋_GB2312" w:eastAsia="仿宋_GB2312" w:cs="仿宋_GB2312"/>
          <w:color w:val="auto"/>
          <w:kern w:val="0"/>
          <w:sz w:val="32"/>
          <w:szCs w:val="32"/>
        </w:rPr>
        <w:t>，新增污水管网1</w:t>
      </w:r>
      <w:r>
        <w:rPr>
          <w:rFonts w:hint="eastAsia" w:ascii="仿宋_GB2312" w:hAnsi="仿宋_GB2312" w:eastAsia="仿宋_GB2312" w:cs="仿宋_GB2312"/>
          <w:color w:val="auto"/>
          <w:kern w:val="0"/>
          <w:sz w:val="32"/>
          <w:szCs w:val="32"/>
          <w:lang w:val="en-US" w:eastAsia="zh-CN"/>
        </w:rPr>
        <w:t>80公里</w:t>
      </w:r>
      <w:r>
        <w:rPr>
          <w:rFonts w:hint="eastAsia" w:ascii="仿宋_GB2312" w:hAnsi="仿宋_GB2312" w:eastAsia="仿宋_GB2312" w:cs="仿宋_GB2312"/>
          <w:color w:val="auto"/>
          <w:kern w:val="0"/>
          <w:sz w:val="32"/>
          <w:szCs w:val="32"/>
        </w:rPr>
        <w:t>，新增污泥处置能力</w:t>
      </w:r>
      <w:r>
        <w:rPr>
          <w:rFonts w:hint="eastAsia" w:ascii="仿宋_GB2312" w:hAnsi="仿宋_GB2312" w:eastAsia="仿宋_GB2312" w:cs="仿宋_GB2312"/>
          <w:color w:val="auto"/>
          <w:kern w:val="0"/>
          <w:sz w:val="32"/>
          <w:szCs w:val="32"/>
          <w:lang w:val="en-US" w:eastAsia="zh-CN"/>
        </w:rPr>
        <w:t>400</w:t>
      </w:r>
      <w:r>
        <w:rPr>
          <w:rFonts w:hint="eastAsia" w:ascii="仿宋_GB2312" w:hAnsi="仿宋_GB2312" w:eastAsia="仿宋_GB2312" w:cs="仿宋_GB2312"/>
          <w:color w:val="auto"/>
          <w:kern w:val="0"/>
          <w:sz w:val="32"/>
          <w:szCs w:val="32"/>
        </w:rPr>
        <w:t>吨/</w:t>
      </w:r>
      <w:r>
        <w:rPr>
          <w:rFonts w:hint="eastAsia" w:ascii="仿宋_GB2312" w:hAnsi="仿宋_GB2312" w:eastAsia="仿宋_GB2312" w:cs="仿宋_GB2312"/>
          <w:color w:val="auto"/>
          <w:kern w:val="0"/>
          <w:sz w:val="32"/>
          <w:szCs w:val="32"/>
          <w:lang w:val="en-US" w:eastAsia="zh-CN"/>
        </w:rPr>
        <w:t>日</w:t>
      </w:r>
      <w:r>
        <w:rPr>
          <w:rFonts w:hint="eastAsia" w:ascii="仿宋_GB2312" w:hAnsi="仿宋_GB2312" w:eastAsia="仿宋_GB2312" w:cs="仿宋_GB2312"/>
          <w:color w:val="auto"/>
          <w:kern w:val="0"/>
          <w:sz w:val="32"/>
          <w:szCs w:val="32"/>
        </w:rPr>
        <w:t>。</w:t>
      </w:r>
    </w:p>
    <w:p>
      <w:pPr>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到2035年，全市建立多水源供水体系，正常年份各县、市、区基本实现水资源供需平衡，满足生活、生产、生态用水需求；基本形成绿色生产生活方式，全社会用水效率达到国内领先水平；基本建立安全达标的防洪减灾体系，超标准洪水可以科学处置；大型河道和穿越城镇、重点经济区、旅游区河流保有生态水量，重点河流全面恢复水环境功能，水环境风险得到控制，水环境生态系统基本得到修复；建立起现代水管理体系，水管理机制富有效率、充满活力。 </w:t>
      </w:r>
    </w:p>
    <w:p>
      <w:pPr>
        <w:pStyle w:val="2"/>
        <w:pageBreakBefore w:val="0"/>
        <w:widowControl w:val="0"/>
        <w:kinsoku/>
        <w:wordWrap/>
        <w:overflowPunct/>
        <w:topLinePunct w:val="0"/>
        <w:autoSpaceDE/>
        <w:autoSpaceDN/>
        <w:bidi w:val="0"/>
        <w:adjustRightInd w:val="0"/>
        <w:snapToGrid w:val="0"/>
        <w:spacing w:line="360" w:lineRule="auto"/>
        <w:ind w:left="0" w:firstLine="643"/>
        <w:textAlignment w:val="auto"/>
        <w:rPr>
          <w:rFonts w:hint="eastAsia" w:ascii="仿宋_GB2312" w:hAnsi="仿宋_GB2312" w:eastAsia="仿宋_GB2312" w:cs="仿宋_GB2312"/>
          <w:color w:val="auto"/>
          <w:kern w:val="0"/>
          <w:sz w:val="32"/>
          <w:szCs w:val="32"/>
        </w:rPr>
      </w:pPr>
    </w:p>
    <w:p>
      <w:pPr>
        <w:pStyle w:val="2"/>
        <w:pageBreakBefore w:val="0"/>
        <w:widowControl w:val="0"/>
        <w:kinsoku/>
        <w:wordWrap/>
        <w:overflowPunct/>
        <w:topLinePunct w:val="0"/>
        <w:autoSpaceDE/>
        <w:autoSpaceDN/>
        <w:bidi w:val="0"/>
        <w:adjustRightInd w:val="0"/>
        <w:snapToGrid w:val="0"/>
        <w:spacing w:line="360" w:lineRule="auto"/>
        <w:ind w:left="0" w:firstLine="643"/>
        <w:textAlignment w:val="auto"/>
        <w:rPr>
          <w:rFonts w:hint="eastAsia" w:ascii="仿宋_GB2312" w:hAnsi="仿宋_GB2312" w:eastAsia="仿宋_GB2312" w:cs="仿宋_GB2312"/>
          <w:color w:val="auto"/>
          <w:kern w:val="0"/>
          <w:sz w:val="32"/>
          <w:szCs w:val="32"/>
        </w:rPr>
      </w:pPr>
    </w:p>
    <w:p>
      <w:pPr>
        <w:pStyle w:val="2"/>
        <w:pageBreakBefore w:val="0"/>
        <w:widowControl w:val="0"/>
        <w:kinsoku/>
        <w:wordWrap/>
        <w:overflowPunct/>
        <w:topLinePunct w:val="0"/>
        <w:autoSpaceDE/>
        <w:autoSpaceDN/>
        <w:bidi w:val="0"/>
        <w:adjustRightInd w:val="0"/>
        <w:snapToGrid w:val="0"/>
        <w:spacing w:line="360" w:lineRule="auto"/>
        <w:ind w:left="0" w:firstLine="643"/>
        <w:textAlignment w:val="auto"/>
        <w:rPr>
          <w:rFonts w:hint="eastAsia" w:ascii="仿宋_GB2312" w:hAnsi="仿宋_GB2312" w:eastAsia="仿宋_GB2312" w:cs="仿宋_GB2312"/>
          <w:color w:val="auto"/>
          <w:kern w:val="0"/>
          <w:sz w:val="32"/>
          <w:szCs w:val="32"/>
        </w:rPr>
      </w:pPr>
    </w:p>
    <w:p>
      <w:pPr>
        <w:pStyle w:val="2"/>
        <w:pageBreakBefore w:val="0"/>
        <w:widowControl w:val="0"/>
        <w:kinsoku/>
        <w:wordWrap/>
        <w:overflowPunct/>
        <w:topLinePunct w:val="0"/>
        <w:autoSpaceDE/>
        <w:autoSpaceDN/>
        <w:bidi w:val="0"/>
        <w:adjustRightInd w:val="0"/>
        <w:snapToGrid w:val="0"/>
        <w:spacing w:line="360" w:lineRule="auto"/>
        <w:ind w:left="0" w:firstLine="643"/>
        <w:textAlignment w:val="auto"/>
        <w:rPr>
          <w:rFonts w:hint="eastAsia" w:ascii="仿宋_GB2312" w:hAnsi="仿宋_GB2312" w:eastAsia="仿宋_GB2312" w:cs="仿宋_GB2312"/>
          <w:color w:val="auto"/>
          <w:kern w:val="0"/>
          <w:sz w:val="32"/>
          <w:szCs w:val="32"/>
        </w:rPr>
      </w:pPr>
    </w:p>
    <w:p>
      <w:pPr>
        <w:pStyle w:val="2"/>
        <w:pageBreakBefore w:val="0"/>
        <w:widowControl w:val="0"/>
        <w:kinsoku/>
        <w:wordWrap/>
        <w:overflowPunct/>
        <w:topLinePunct w:val="0"/>
        <w:autoSpaceDE/>
        <w:autoSpaceDN/>
        <w:bidi w:val="0"/>
        <w:adjustRightInd w:val="0"/>
        <w:snapToGrid w:val="0"/>
        <w:spacing w:line="360" w:lineRule="auto"/>
        <w:ind w:left="0" w:firstLine="643"/>
        <w:textAlignment w:val="auto"/>
        <w:rPr>
          <w:rFonts w:hint="eastAsia" w:ascii="仿宋_GB2312" w:hAnsi="仿宋_GB2312" w:eastAsia="仿宋_GB2312" w:cs="仿宋_GB2312"/>
          <w:color w:val="auto"/>
          <w:kern w:val="0"/>
          <w:sz w:val="32"/>
          <w:szCs w:val="32"/>
        </w:rPr>
      </w:pPr>
    </w:p>
    <w:p>
      <w:pPr>
        <w:pStyle w:val="2"/>
        <w:pageBreakBefore w:val="0"/>
        <w:widowControl w:val="0"/>
        <w:kinsoku/>
        <w:wordWrap/>
        <w:overflowPunct/>
        <w:topLinePunct w:val="0"/>
        <w:autoSpaceDE/>
        <w:autoSpaceDN/>
        <w:bidi w:val="0"/>
        <w:adjustRightInd w:val="0"/>
        <w:snapToGrid w:val="0"/>
        <w:spacing w:line="360" w:lineRule="auto"/>
        <w:ind w:left="0" w:firstLine="643"/>
        <w:textAlignment w:val="auto"/>
        <w:rPr>
          <w:rFonts w:hint="eastAsia" w:ascii="仿宋_GB2312" w:hAnsi="仿宋_GB2312" w:eastAsia="仿宋_GB2312" w:cs="仿宋_GB2312"/>
          <w:color w:val="auto"/>
          <w:kern w:val="0"/>
          <w:sz w:val="32"/>
          <w:szCs w:val="32"/>
        </w:rPr>
      </w:pPr>
    </w:p>
    <w:p>
      <w:pPr>
        <w:pStyle w:val="2"/>
        <w:pageBreakBefore w:val="0"/>
        <w:widowControl w:val="0"/>
        <w:kinsoku/>
        <w:wordWrap/>
        <w:overflowPunct/>
        <w:topLinePunct w:val="0"/>
        <w:autoSpaceDE/>
        <w:autoSpaceDN/>
        <w:bidi w:val="0"/>
        <w:adjustRightInd w:val="0"/>
        <w:snapToGrid w:val="0"/>
        <w:spacing w:line="360" w:lineRule="auto"/>
        <w:ind w:left="0" w:firstLine="643"/>
        <w:textAlignment w:val="auto"/>
        <w:rPr>
          <w:rFonts w:hint="eastAsia" w:ascii="仿宋_GB2312" w:hAnsi="仿宋_GB2312" w:eastAsia="仿宋_GB2312" w:cs="仿宋_GB2312"/>
          <w:color w:val="auto"/>
          <w:kern w:val="0"/>
          <w:sz w:val="32"/>
          <w:szCs w:val="32"/>
        </w:rPr>
      </w:pPr>
    </w:p>
    <w:p>
      <w:pPr>
        <w:pStyle w:val="2"/>
        <w:pageBreakBefore w:val="0"/>
        <w:widowControl w:val="0"/>
        <w:kinsoku/>
        <w:wordWrap/>
        <w:overflowPunct/>
        <w:topLinePunct w:val="0"/>
        <w:autoSpaceDE/>
        <w:autoSpaceDN/>
        <w:bidi w:val="0"/>
        <w:adjustRightInd w:val="0"/>
        <w:snapToGrid w:val="0"/>
        <w:spacing w:line="360" w:lineRule="auto"/>
        <w:ind w:left="0" w:firstLine="643"/>
        <w:textAlignment w:val="auto"/>
        <w:rPr>
          <w:rFonts w:hint="eastAsia" w:ascii="仿宋_GB2312" w:hAnsi="仿宋_GB2312" w:eastAsia="仿宋_GB2312" w:cs="仿宋_GB2312"/>
          <w:color w:val="auto"/>
          <w:kern w:val="0"/>
          <w:sz w:val="32"/>
          <w:szCs w:val="32"/>
        </w:rPr>
      </w:pPr>
    </w:p>
    <w:p>
      <w:pPr>
        <w:pStyle w:val="2"/>
        <w:pageBreakBefore w:val="0"/>
        <w:widowControl w:val="0"/>
        <w:kinsoku/>
        <w:wordWrap/>
        <w:overflowPunct/>
        <w:topLinePunct w:val="0"/>
        <w:autoSpaceDE/>
        <w:autoSpaceDN/>
        <w:bidi w:val="0"/>
        <w:adjustRightInd w:val="0"/>
        <w:snapToGrid w:val="0"/>
        <w:spacing w:line="360" w:lineRule="auto"/>
        <w:ind w:left="0" w:firstLine="643"/>
        <w:textAlignment w:val="auto"/>
        <w:rPr>
          <w:rFonts w:hint="eastAsia" w:ascii="仿宋_GB2312" w:hAnsi="仿宋_GB2312" w:eastAsia="仿宋_GB2312" w:cs="仿宋_GB2312"/>
          <w:color w:val="auto"/>
          <w:kern w:val="0"/>
          <w:sz w:val="32"/>
          <w:szCs w:val="32"/>
        </w:rPr>
      </w:pPr>
    </w:p>
    <w:p>
      <w:pPr>
        <w:pStyle w:val="2"/>
        <w:pageBreakBefore w:val="0"/>
        <w:widowControl w:val="0"/>
        <w:kinsoku/>
        <w:wordWrap/>
        <w:overflowPunct/>
        <w:topLinePunct w:val="0"/>
        <w:autoSpaceDE/>
        <w:autoSpaceDN/>
        <w:bidi w:val="0"/>
        <w:adjustRightInd w:val="0"/>
        <w:snapToGrid w:val="0"/>
        <w:spacing w:line="360" w:lineRule="auto"/>
        <w:ind w:left="0" w:firstLine="643"/>
        <w:textAlignment w:val="auto"/>
        <w:rPr>
          <w:rFonts w:hint="eastAsia" w:ascii="仿宋_GB2312" w:hAnsi="仿宋_GB2312" w:eastAsia="仿宋_GB2312" w:cs="仿宋_GB2312"/>
          <w:color w:val="auto"/>
          <w:kern w:val="0"/>
          <w:sz w:val="32"/>
          <w:szCs w:val="32"/>
        </w:rPr>
      </w:pPr>
    </w:p>
    <w:p>
      <w:pPr>
        <w:pStyle w:val="2"/>
        <w:pageBreakBefore w:val="0"/>
        <w:widowControl w:val="0"/>
        <w:kinsoku/>
        <w:wordWrap/>
        <w:overflowPunct/>
        <w:topLinePunct w:val="0"/>
        <w:autoSpaceDE/>
        <w:autoSpaceDN/>
        <w:bidi w:val="0"/>
        <w:adjustRightInd w:val="0"/>
        <w:snapToGrid w:val="0"/>
        <w:spacing w:line="360" w:lineRule="auto"/>
        <w:ind w:left="0" w:firstLine="643"/>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济宁市“十四五”水务发展主要规划指标</w:t>
      </w:r>
    </w:p>
    <w:tbl>
      <w:tblPr>
        <w:tblStyle w:val="20"/>
        <w:tblpPr w:leftFromText="180" w:rightFromText="180" w:vertAnchor="text" w:horzAnchor="page" w:tblpX="1483" w:tblpY="74"/>
        <w:tblOverlap w:val="never"/>
        <w:tblW w:w="5008" w:type="pct"/>
        <w:tblInd w:w="-6" w:type="dxa"/>
        <w:tblLayout w:type="autofit"/>
        <w:tblCellMar>
          <w:top w:w="0" w:type="dxa"/>
          <w:left w:w="0" w:type="dxa"/>
          <w:bottom w:w="0" w:type="dxa"/>
          <w:right w:w="0" w:type="dxa"/>
        </w:tblCellMar>
      </w:tblPr>
      <w:tblGrid>
        <w:gridCol w:w="751"/>
        <w:gridCol w:w="4251"/>
        <w:gridCol w:w="1471"/>
        <w:gridCol w:w="1594"/>
        <w:gridCol w:w="973"/>
      </w:tblGrid>
      <w:tr>
        <w:tblPrEx>
          <w:tblCellMar>
            <w:top w:w="0" w:type="dxa"/>
            <w:left w:w="0" w:type="dxa"/>
            <w:bottom w:w="0" w:type="dxa"/>
            <w:right w:w="0" w:type="dxa"/>
          </w:tblCellMar>
        </w:tblPrEx>
        <w:trPr>
          <w:trHeight w:val="90" w:hRule="atLeast"/>
        </w:trPr>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序号</w:t>
            </w:r>
          </w:p>
        </w:tc>
        <w:tc>
          <w:tcPr>
            <w:tcW w:w="2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0"/>
                <w:sz w:val="24"/>
              </w:rPr>
            </w:pPr>
            <w:r>
              <w:rPr>
                <w:rFonts w:hint="eastAsia" w:ascii="仿宋" w:hAnsi="仿宋" w:eastAsia="仿宋" w:cs="仿宋"/>
                <w:color w:val="auto"/>
                <w:kern w:val="24"/>
                <w:sz w:val="24"/>
              </w:rPr>
              <w:t>指 标</w:t>
            </w:r>
          </w:p>
        </w:tc>
        <w:tc>
          <w:tcPr>
            <w:tcW w:w="8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“十三五”完成指标</w:t>
            </w:r>
          </w:p>
        </w:tc>
        <w:tc>
          <w:tcPr>
            <w:tcW w:w="88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“十四五”</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0"/>
                <w:sz w:val="24"/>
              </w:rPr>
            </w:pPr>
            <w:r>
              <w:rPr>
                <w:rFonts w:hint="eastAsia" w:ascii="仿宋" w:hAnsi="仿宋" w:eastAsia="仿宋" w:cs="仿宋"/>
                <w:color w:val="auto"/>
                <w:kern w:val="24"/>
                <w:sz w:val="24"/>
              </w:rPr>
              <w:t>规划指标</w:t>
            </w:r>
          </w:p>
        </w:tc>
        <w:tc>
          <w:tcPr>
            <w:tcW w:w="5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0"/>
                <w:sz w:val="24"/>
              </w:rPr>
            </w:pPr>
            <w:r>
              <w:rPr>
                <w:rFonts w:hint="eastAsia" w:ascii="仿宋" w:hAnsi="仿宋" w:eastAsia="仿宋" w:cs="仿宋"/>
                <w:color w:val="auto"/>
                <w:kern w:val="24"/>
                <w:sz w:val="24"/>
              </w:rPr>
              <w:t>备 注</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1</w:t>
            </w:r>
          </w:p>
        </w:tc>
        <w:tc>
          <w:tcPr>
            <w:tcW w:w="2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用水总量控制（亿m</w:t>
            </w:r>
            <w:r>
              <w:rPr>
                <w:rFonts w:hint="eastAsia" w:ascii="仿宋" w:hAnsi="仿宋" w:eastAsia="仿宋" w:cs="仿宋"/>
                <w:color w:val="auto"/>
                <w:kern w:val="24"/>
                <w:sz w:val="24"/>
                <w:vertAlign w:val="superscript"/>
              </w:rPr>
              <w:t>3</w:t>
            </w:r>
            <w:r>
              <w:rPr>
                <w:rFonts w:hint="eastAsia" w:ascii="仿宋" w:hAnsi="仿宋" w:eastAsia="仿宋" w:cs="仿宋"/>
                <w:color w:val="auto"/>
                <w:kern w:val="24"/>
                <w:sz w:val="24"/>
              </w:rPr>
              <w:t>/年）</w:t>
            </w:r>
          </w:p>
        </w:tc>
        <w:tc>
          <w:tcPr>
            <w:tcW w:w="8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〔22〕</w:t>
            </w:r>
          </w:p>
        </w:tc>
        <w:tc>
          <w:tcPr>
            <w:tcW w:w="88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〔27.6〕</w:t>
            </w:r>
          </w:p>
        </w:tc>
        <w:tc>
          <w:tcPr>
            <w:tcW w:w="5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约束性</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2</w:t>
            </w:r>
          </w:p>
        </w:tc>
        <w:tc>
          <w:tcPr>
            <w:tcW w:w="2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新增节水（亿m</w:t>
            </w:r>
            <w:r>
              <w:rPr>
                <w:rFonts w:hint="eastAsia" w:ascii="仿宋" w:hAnsi="仿宋" w:eastAsia="仿宋" w:cs="仿宋"/>
                <w:color w:val="auto"/>
                <w:kern w:val="24"/>
                <w:sz w:val="24"/>
                <w:vertAlign w:val="superscript"/>
              </w:rPr>
              <w:t>3</w:t>
            </w:r>
            <w:r>
              <w:rPr>
                <w:rFonts w:hint="eastAsia" w:ascii="仿宋" w:hAnsi="仿宋" w:eastAsia="仿宋" w:cs="仿宋"/>
                <w:color w:val="auto"/>
                <w:kern w:val="24"/>
                <w:sz w:val="24"/>
              </w:rPr>
              <w:t>）</w:t>
            </w:r>
          </w:p>
        </w:tc>
        <w:tc>
          <w:tcPr>
            <w:tcW w:w="8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1.5</w:t>
            </w:r>
          </w:p>
        </w:tc>
        <w:tc>
          <w:tcPr>
            <w:tcW w:w="88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1.5</w:t>
            </w:r>
          </w:p>
        </w:tc>
        <w:tc>
          <w:tcPr>
            <w:tcW w:w="5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预期性</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3</w:t>
            </w:r>
          </w:p>
        </w:tc>
        <w:tc>
          <w:tcPr>
            <w:tcW w:w="2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万元GDP用水量（m</w:t>
            </w:r>
            <w:r>
              <w:rPr>
                <w:rFonts w:hint="eastAsia" w:ascii="仿宋" w:hAnsi="仿宋" w:eastAsia="仿宋" w:cs="仿宋"/>
                <w:color w:val="auto"/>
                <w:kern w:val="24"/>
                <w:sz w:val="24"/>
                <w:vertAlign w:val="superscript"/>
              </w:rPr>
              <w:t>3</w:t>
            </w:r>
            <w:r>
              <w:rPr>
                <w:rFonts w:hint="eastAsia" w:ascii="仿宋" w:hAnsi="仿宋" w:eastAsia="仿宋" w:cs="仿宋"/>
                <w:color w:val="auto"/>
                <w:kern w:val="24"/>
                <w:sz w:val="24"/>
              </w:rPr>
              <w:t>）</w:t>
            </w:r>
          </w:p>
        </w:tc>
        <w:tc>
          <w:tcPr>
            <w:tcW w:w="8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w:t>
            </w:r>
            <w:r>
              <w:rPr>
                <w:rFonts w:hint="eastAsia" w:ascii="仿宋" w:hAnsi="仿宋" w:eastAsia="仿宋" w:cs="仿宋"/>
                <w:color w:val="auto"/>
                <w:kern w:val="24"/>
                <w:sz w:val="24"/>
                <w:lang w:val="en-US" w:eastAsia="zh-CN"/>
              </w:rPr>
              <w:t>47.41</w:t>
            </w:r>
            <w:r>
              <w:rPr>
                <w:rFonts w:hint="eastAsia" w:ascii="仿宋" w:hAnsi="仿宋" w:eastAsia="仿宋" w:cs="仿宋"/>
                <w:color w:val="auto"/>
                <w:kern w:val="24"/>
                <w:sz w:val="24"/>
              </w:rPr>
              <w:t>〕</w:t>
            </w:r>
          </w:p>
        </w:tc>
        <w:tc>
          <w:tcPr>
            <w:tcW w:w="88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w:t>
            </w:r>
            <w:r>
              <w:rPr>
                <w:rFonts w:hint="eastAsia" w:ascii="仿宋" w:hAnsi="仿宋" w:eastAsia="仿宋" w:cs="仿宋"/>
                <w:color w:val="auto"/>
                <w:kern w:val="24"/>
                <w:sz w:val="24"/>
                <w:lang w:val="en-US" w:eastAsia="zh-CN"/>
              </w:rPr>
              <w:t>40.30</w:t>
            </w:r>
            <w:r>
              <w:rPr>
                <w:rFonts w:hint="eastAsia" w:ascii="仿宋" w:hAnsi="仿宋" w:eastAsia="仿宋" w:cs="仿宋"/>
                <w:color w:val="auto"/>
                <w:kern w:val="24"/>
                <w:sz w:val="24"/>
              </w:rPr>
              <w:t>〕</w:t>
            </w:r>
          </w:p>
        </w:tc>
        <w:tc>
          <w:tcPr>
            <w:tcW w:w="5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约束性</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4</w:t>
            </w:r>
          </w:p>
        </w:tc>
        <w:tc>
          <w:tcPr>
            <w:tcW w:w="2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万元GDP用水量下降（%）</w:t>
            </w:r>
          </w:p>
        </w:tc>
        <w:tc>
          <w:tcPr>
            <w:tcW w:w="8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w:t>
            </w:r>
            <w:r>
              <w:rPr>
                <w:rFonts w:hint="eastAsia" w:ascii="仿宋" w:hAnsi="仿宋" w:eastAsia="仿宋" w:cs="仿宋"/>
                <w:color w:val="auto"/>
                <w:kern w:val="24"/>
                <w:sz w:val="24"/>
                <w:lang w:val="en-US" w:eastAsia="zh-CN"/>
              </w:rPr>
              <w:t>27.31</w:t>
            </w:r>
            <w:r>
              <w:rPr>
                <w:rFonts w:hint="eastAsia" w:ascii="仿宋" w:hAnsi="仿宋" w:eastAsia="仿宋" w:cs="仿宋"/>
                <w:color w:val="auto"/>
                <w:kern w:val="24"/>
                <w:sz w:val="24"/>
              </w:rPr>
              <w:t>〕</w:t>
            </w:r>
          </w:p>
        </w:tc>
        <w:tc>
          <w:tcPr>
            <w:tcW w:w="88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〔1</w:t>
            </w:r>
            <w:r>
              <w:rPr>
                <w:rFonts w:hint="eastAsia" w:ascii="仿宋" w:hAnsi="仿宋" w:eastAsia="仿宋" w:cs="仿宋"/>
                <w:color w:val="auto"/>
                <w:kern w:val="24"/>
                <w:sz w:val="24"/>
                <w:lang w:val="en-US" w:eastAsia="zh-CN"/>
              </w:rPr>
              <w:t>5</w:t>
            </w:r>
            <w:r>
              <w:rPr>
                <w:rFonts w:hint="eastAsia" w:ascii="仿宋" w:hAnsi="仿宋" w:eastAsia="仿宋" w:cs="仿宋"/>
                <w:color w:val="auto"/>
                <w:kern w:val="24"/>
                <w:sz w:val="24"/>
              </w:rPr>
              <w:t>〕</w:t>
            </w:r>
          </w:p>
        </w:tc>
        <w:tc>
          <w:tcPr>
            <w:tcW w:w="5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约束性</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5</w:t>
            </w:r>
          </w:p>
        </w:tc>
        <w:tc>
          <w:tcPr>
            <w:tcW w:w="2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万元工业增加值用水量（m</w:t>
            </w:r>
            <w:r>
              <w:rPr>
                <w:rFonts w:hint="eastAsia" w:ascii="仿宋" w:hAnsi="仿宋" w:eastAsia="仿宋" w:cs="仿宋"/>
                <w:color w:val="auto"/>
                <w:kern w:val="24"/>
                <w:sz w:val="24"/>
                <w:vertAlign w:val="superscript"/>
              </w:rPr>
              <w:t>3</w:t>
            </w:r>
            <w:r>
              <w:rPr>
                <w:rFonts w:hint="eastAsia" w:ascii="仿宋" w:hAnsi="仿宋" w:eastAsia="仿宋" w:cs="仿宋"/>
                <w:color w:val="auto"/>
                <w:kern w:val="24"/>
                <w:sz w:val="24"/>
              </w:rPr>
              <w:t>）</w:t>
            </w:r>
          </w:p>
        </w:tc>
        <w:tc>
          <w:tcPr>
            <w:tcW w:w="8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仿宋" w:hAnsi="仿宋" w:eastAsia="仿宋" w:cs="仿宋"/>
                <w:color w:val="auto"/>
                <w:kern w:val="24"/>
                <w:sz w:val="24"/>
                <w:lang w:val="en-US" w:eastAsia="zh-CN"/>
              </w:rPr>
            </w:pPr>
            <w:r>
              <w:rPr>
                <w:rFonts w:hint="eastAsia" w:ascii="仿宋" w:hAnsi="仿宋" w:eastAsia="仿宋" w:cs="仿宋"/>
                <w:color w:val="auto"/>
                <w:kern w:val="24"/>
                <w:sz w:val="24"/>
                <w:lang w:val="en-US" w:eastAsia="zh-CN"/>
              </w:rPr>
              <w:t>15.98</w:t>
            </w:r>
          </w:p>
        </w:tc>
        <w:tc>
          <w:tcPr>
            <w:tcW w:w="88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0"/>
                <w:sz w:val="24"/>
              </w:rPr>
            </w:pPr>
            <w:r>
              <w:rPr>
                <w:rFonts w:hint="eastAsia" w:ascii="仿宋" w:hAnsi="仿宋" w:eastAsia="仿宋" w:cs="仿宋"/>
                <w:color w:val="auto"/>
                <w:kern w:val="24"/>
                <w:sz w:val="24"/>
              </w:rPr>
              <w:t>14.</w:t>
            </w:r>
            <w:r>
              <w:rPr>
                <w:rFonts w:hint="eastAsia" w:ascii="仿宋" w:hAnsi="仿宋" w:eastAsia="仿宋" w:cs="仿宋"/>
                <w:color w:val="auto"/>
                <w:kern w:val="24"/>
                <w:sz w:val="24"/>
                <w:lang w:val="en-US" w:eastAsia="zh-CN"/>
              </w:rPr>
              <w:t>0</w:t>
            </w:r>
            <w:r>
              <w:rPr>
                <w:rFonts w:hint="eastAsia" w:ascii="仿宋" w:hAnsi="仿宋" w:eastAsia="仿宋" w:cs="仿宋"/>
                <w:color w:val="auto"/>
                <w:kern w:val="24"/>
                <w:sz w:val="24"/>
              </w:rPr>
              <w:t>6</w:t>
            </w:r>
          </w:p>
        </w:tc>
        <w:tc>
          <w:tcPr>
            <w:tcW w:w="5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0"/>
                <w:sz w:val="24"/>
              </w:rPr>
            </w:pPr>
            <w:r>
              <w:rPr>
                <w:rFonts w:hint="eastAsia" w:ascii="仿宋" w:hAnsi="仿宋" w:eastAsia="仿宋" w:cs="仿宋"/>
                <w:color w:val="auto"/>
                <w:kern w:val="24"/>
                <w:sz w:val="24"/>
              </w:rPr>
              <w:t>预期性</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6</w:t>
            </w:r>
          </w:p>
        </w:tc>
        <w:tc>
          <w:tcPr>
            <w:tcW w:w="2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万元工业增加值用水量下降率（%）</w:t>
            </w:r>
          </w:p>
        </w:tc>
        <w:tc>
          <w:tcPr>
            <w:tcW w:w="8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〔12〕</w:t>
            </w:r>
          </w:p>
        </w:tc>
        <w:tc>
          <w:tcPr>
            <w:tcW w:w="88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〔1</w:t>
            </w:r>
            <w:r>
              <w:rPr>
                <w:rFonts w:hint="eastAsia" w:ascii="仿宋" w:hAnsi="仿宋" w:eastAsia="仿宋" w:cs="仿宋"/>
                <w:color w:val="auto"/>
                <w:kern w:val="24"/>
                <w:sz w:val="24"/>
                <w:lang w:val="en-US" w:eastAsia="zh-CN"/>
              </w:rPr>
              <w:t>2</w:t>
            </w:r>
            <w:r>
              <w:rPr>
                <w:rFonts w:hint="eastAsia" w:ascii="仿宋" w:hAnsi="仿宋" w:eastAsia="仿宋" w:cs="仿宋"/>
                <w:color w:val="auto"/>
                <w:kern w:val="24"/>
                <w:sz w:val="24"/>
              </w:rPr>
              <w:t>〕</w:t>
            </w:r>
          </w:p>
        </w:tc>
        <w:tc>
          <w:tcPr>
            <w:tcW w:w="5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约束性</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ascii="仿宋" w:hAnsi="仿宋" w:eastAsia="仿宋" w:cs="仿宋"/>
                <w:color w:val="auto"/>
                <w:kern w:val="24"/>
                <w:sz w:val="24"/>
              </w:rPr>
            </w:pPr>
            <w:r>
              <w:rPr>
                <w:rFonts w:hint="eastAsia" w:ascii="仿宋" w:hAnsi="仿宋" w:eastAsia="仿宋" w:cs="仿宋"/>
                <w:color w:val="auto"/>
                <w:kern w:val="24"/>
                <w:sz w:val="24"/>
              </w:rPr>
              <w:t>7</w:t>
            </w:r>
          </w:p>
        </w:tc>
        <w:tc>
          <w:tcPr>
            <w:tcW w:w="2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ascii="仿宋" w:hAnsi="仿宋" w:eastAsia="仿宋" w:cs="仿宋"/>
                <w:color w:val="auto"/>
                <w:kern w:val="0"/>
                <w:sz w:val="24"/>
              </w:rPr>
            </w:pPr>
            <w:r>
              <w:rPr>
                <w:rFonts w:hint="eastAsia" w:ascii="仿宋" w:hAnsi="仿宋" w:eastAsia="仿宋" w:cs="仿宋"/>
                <w:color w:val="auto"/>
                <w:kern w:val="24"/>
                <w:sz w:val="24"/>
              </w:rPr>
              <w:t>工业用水重复利用率（%）</w:t>
            </w:r>
          </w:p>
        </w:tc>
        <w:tc>
          <w:tcPr>
            <w:tcW w:w="8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〔86〕</w:t>
            </w:r>
          </w:p>
        </w:tc>
        <w:tc>
          <w:tcPr>
            <w:tcW w:w="88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ascii="仿宋" w:hAnsi="仿宋" w:eastAsia="仿宋" w:cs="仿宋"/>
                <w:color w:val="auto"/>
                <w:kern w:val="24"/>
                <w:sz w:val="24"/>
              </w:rPr>
            </w:pPr>
            <w:r>
              <w:rPr>
                <w:rFonts w:hint="eastAsia" w:ascii="仿宋" w:hAnsi="仿宋" w:eastAsia="仿宋" w:cs="仿宋"/>
                <w:color w:val="auto"/>
                <w:kern w:val="24"/>
                <w:sz w:val="24"/>
              </w:rPr>
              <w:t>〔88〕</w:t>
            </w:r>
          </w:p>
        </w:tc>
        <w:tc>
          <w:tcPr>
            <w:tcW w:w="5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ascii="仿宋" w:hAnsi="仿宋" w:eastAsia="仿宋" w:cs="仿宋"/>
                <w:color w:val="auto"/>
                <w:kern w:val="0"/>
                <w:sz w:val="24"/>
              </w:rPr>
            </w:pPr>
            <w:r>
              <w:rPr>
                <w:rFonts w:hint="eastAsia" w:ascii="仿宋" w:hAnsi="仿宋" w:eastAsia="仿宋" w:cs="仿宋"/>
                <w:color w:val="auto"/>
                <w:kern w:val="24"/>
                <w:sz w:val="24"/>
              </w:rPr>
              <w:t>约束性</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8</w:t>
            </w:r>
          </w:p>
        </w:tc>
        <w:tc>
          <w:tcPr>
            <w:tcW w:w="2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0"/>
                <w:sz w:val="24"/>
              </w:rPr>
            </w:pPr>
            <w:r>
              <w:rPr>
                <w:rFonts w:hint="eastAsia" w:ascii="仿宋" w:hAnsi="仿宋" w:eastAsia="仿宋" w:cs="仿宋"/>
                <w:color w:val="auto"/>
                <w:kern w:val="24"/>
                <w:sz w:val="24"/>
              </w:rPr>
              <w:t>农田灌溉水有效利用系数</w:t>
            </w:r>
          </w:p>
        </w:tc>
        <w:tc>
          <w:tcPr>
            <w:tcW w:w="8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〔0.66〕</w:t>
            </w:r>
          </w:p>
        </w:tc>
        <w:tc>
          <w:tcPr>
            <w:tcW w:w="88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0"/>
                <w:sz w:val="24"/>
              </w:rPr>
            </w:pPr>
            <w:r>
              <w:rPr>
                <w:rFonts w:hint="eastAsia" w:ascii="仿宋" w:hAnsi="仿宋" w:eastAsia="仿宋" w:cs="仿宋"/>
                <w:color w:val="auto"/>
                <w:kern w:val="24"/>
                <w:sz w:val="24"/>
              </w:rPr>
              <w:t>〔0.67〕</w:t>
            </w:r>
          </w:p>
        </w:tc>
        <w:tc>
          <w:tcPr>
            <w:tcW w:w="5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0"/>
                <w:sz w:val="24"/>
              </w:rPr>
            </w:pPr>
            <w:r>
              <w:rPr>
                <w:rFonts w:hint="eastAsia" w:ascii="仿宋" w:hAnsi="仿宋" w:eastAsia="仿宋" w:cs="仿宋"/>
                <w:color w:val="auto"/>
                <w:kern w:val="24"/>
                <w:sz w:val="24"/>
              </w:rPr>
              <w:t>约束性</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ascii="仿宋" w:hAnsi="仿宋" w:eastAsia="仿宋" w:cs="仿宋"/>
                <w:color w:val="auto"/>
                <w:kern w:val="24"/>
                <w:sz w:val="24"/>
              </w:rPr>
            </w:pPr>
            <w:r>
              <w:rPr>
                <w:rFonts w:hint="eastAsia" w:ascii="仿宋" w:hAnsi="仿宋" w:eastAsia="仿宋" w:cs="仿宋"/>
                <w:color w:val="auto"/>
                <w:kern w:val="24"/>
                <w:sz w:val="24"/>
              </w:rPr>
              <w:t>9</w:t>
            </w:r>
          </w:p>
        </w:tc>
        <w:tc>
          <w:tcPr>
            <w:tcW w:w="2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ascii="仿宋" w:hAnsi="仿宋" w:eastAsia="仿宋" w:cs="仿宋"/>
                <w:color w:val="auto"/>
                <w:kern w:val="24"/>
                <w:sz w:val="24"/>
              </w:rPr>
            </w:pPr>
            <w:r>
              <w:rPr>
                <w:rFonts w:hint="eastAsia" w:ascii="仿宋" w:hAnsi="仿宋" w:eastAsia="仿宋" w:cs="仿宋"/>
                <w:color w:val="auto"/>
                <w:kern w:val="24"/>
                <w:sz w:val="24"/>
              </w:rPr>
              <w:t>城镇公共供水管网漏损率（%）</w:t>
            </w:r>
          </w:p>
        </w:tc>
        <w:tc>
          <w:tcPr>
            <w:tcW w:w="8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ascii="仿宋" w:hAnsi="仿宋" w:eastAsia="仿宋" w:cs="仿宋"/>
                <w:color w:val="auto"/>
                <w:kern w:val="24"/>
                <w:sz w:val="24"/>
              </w:rPr>
            </w:pPr>
            <w:r>
              <w:rPr>
                <w:rFonts w:hint="eastAsia" w:ascii="仿宋" w:hAnsi="仿宋" w:eastAsia="仿宋" w:cs="仿宋"/>
                <w:color w:val="auto"/>
                <w:kern w:val="24"/>
                <w:sz w:val="24"/>
              </w:rPr>
              <w:t>〔10〕</w:t>
            </w:r>
          </w:p>
        </w:tc>
        <w:tc>
          <w:tcPr>
            <w:tcW w:w="88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ascii="仿宋" w:hAnsi="仿宋" w:eastAsia="仿宋" w:cs="仿宋"/>
                <w:color w:val="auto"/>
                <w:kern w:val="24"/>
                <w:sz w:val="24"/>
              </w:rPr>
            </w:pPr>
            <w:r>
              <w:rPr>
                <w:rFonts w:hint="eastAsia" w:ascii="仿宋" w:hAnsi="仿宋" w:eastAsia="仿宋" w:cs="仿宋"/>
                <w:color w:val="auto"/>
                <w:kern w:val="24"/>
                <w:sz w:val="24"/>
              </w:rPr>
              <w:t>〔</w:t>
            </w:r>
            <w:r>
              <w:rPr>
                <w:rFonts w:hint="eastAsia" w:ascii="仿宋" w:hAnsi="仿宋" w:eastAsia="仿宋" w:cs="仿宋"/>
                <w:color w:val="auto"/>
                <w:kern w:val="24"/>
                <w:sz w:val="24"/>
                <w:lang w:val="en-US" w:eastAsia="zh-CN"/>
              </w:rPr>
              <w:t>9</w:t>
            </w:r>
            <w:r>
              <w:rPr>
                <w:rFonts w:hint="eastAsia" w:ascii="仿宋" w:hAnsi="仿宋" w:eastAsia="仿宋" w:cs="仿宋"/>
                <w:color w:val="auto"/>
                <w:kern w:val="24"/>
                <w:sz w:val="24"/>
              </w:rPr>
              <w:t>〕</w:t>
            </w:r>
          </w:p>
        </w:tc>
        <w:tc>
          <w:tcPr>
            <w:tcW w:w="5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ascii="仿宋" w:hAnsi="仿宋" w:eastAsia="仿宋" w:cs="仿宋"/>
                <w:color w:val="auto"/>
                <w:kern w:val="24"/>
                <w:sz w:val="24"/>
              </w:rPr>
            </w:pPr>
            <w:r>
              <w:rPr>
                <w:rFonts w:hint="eastAsia" w:ascii="仿宋" w:hAnsi="仿宋" w:eastAsia="仿宋" w:cs="仿宋"/>
                <w:color w:val="auto"/>
                <w:kern w:val="24"/>
                <w:sz w:val="24"/>
              </w:rPr>
              <w:t>约束性</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10</w:t>
            </w:r>
          </w:p>
        </w:tc>
        <w:tc>
          <w:tcPr>
            <w:tcW w:w="2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城市污水处理能力（万吨/天）</w:t>
            </w:r>
          </w:p>
        </w:tc>
        <w:tc>
          <w:tcPr>
            <w:tcW w:w="8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〔124.5〕</w:t>
            </w:r>
          </w:p>
        </w:tc>
        <w:tc>
          <w:tcPr>
            <w:tcW w:w="88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〔149.5〕</w:t>
            </w:r>
          </w:p>
        </w:tc>
        <w:tc>
          <w:tcPr>
            <w:tcW w:w="5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约束性</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ascii="仿宋" w:hAnsi="仿宋" w:eastAsia="仿宋" w:cs="仿宋"/>
                <w:color w:val="auto"/>
                <w:kern w:val="24"/>
                <w:sz w:val="24"/>
              </w:rPr>
            </w:pPr>
            <w:r>
              <w:rPr>
                <w:rFonts w:hint="eastAsia" w:ascii="仿宋" w:hAnsi="仿宋" w:eastAsia="仿宋" w:cs="仿宋"/>
                <w:color w:val="auto"/>
                <w:kern w:val="24"/>
                <w:sz w:val="24"/>
              </w:rPr>
              <w:t>11</w:t>
            </w:r>
          </w:p>
        </w:tc>
        <w:tc>
          <w:tcPr>
            <w:tcW w:w="23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ascii="仿宋" w:hAnsi="仿宋" w:eastAsia="仿宋" w:cs="仿宋"/>
                <w:color w:val="auto"/>
                <w:kern w:val="24"/>
                <w:sz w:val="24"/>
              </w:rPr>
            </w:pPr>
            <w:r>
              <w:rPr>
                <w:rFonts w:hint="eastAsia" w:ascii="仿宋" w:hAnsi="仿宋" w:eastAsia="仿宋" w:cs="仿宋"/>
                <w:color w:val="auto"/>
                <w:kern w:val="24"/>
                <w:sz w:val="24"/>
              </w:rPr>
              <w:t>城市生活污水处理率（%）</w:t>
            </w:r>
          </w:p>
        </w:tc>
        <w:tc>
          <w:tcPr>
            <w:tcW w:w="81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ascii="仿宋" w:hAnsi="仿宋" w:eastAsia="仿宋" w:cs="仿宋"/>
                <w:color w:val="auto"/>
                <w:kern w:val="24"/>
                <w:sz w:val="24"/>
              </w:rPr>
            </w:pPr>
            <w:r>
              <w:rPr>
                <w:rFonts w:hint="eastAsia" w:ascii="仿宋" w:hAnsi="仿宋" w:eastAsia="仿宋" w:cs="仿宋"/>
                <w:color w:val="auto"/>
                <w:kern w:val="24"/>
                <w:sz w:val="24"/>
              </w:rPr>
              <w:t>〔98〕</w:t>
            </w:r>
          </w:p>
        </w:tc>
        <w:tc>
          <w:tcPr>
            <w:tcW w:w="88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ascii="仿宋" w:hAnsi="仿宋" w:eastAsia="仿宋" w:cs="仿宋"/>
                <w:color w:val="auto"/>
                <w:kern w:val="24"/>
                <w:sz w:val="24"/>
              </w:rPr>
            </w:pPr>
            <w:r>
              <w:rPr>
                <w:rFonts w:hint="eastAsia" w:ascii="仿宋" w:hAnsi="仿宋" w:eastAsia="仿宋" w:cs="仿宋"/>
                <w:color w:val="auto"/>
                <w:kern w:val="24"/>
                <w:sz w:val="24"/>
              </w:rPr>
              <w:t>〔</w:t>
            </w:r>
            <w:r>
              <w:rPr>
                <w:rFonts w:hint="eastAsia" w:ascii="仿宋" w:hAnsi="仿宋" w:eastAsia="仿宋" w:cs="仿宋"/>
                <w:color w:val="auto"/>
                <w:kern w:val="24"/>
                <w:sz w:val="24"/>
                <w:lang w:val="en-US" w:eastAsia="zh-CN"/>
              </w:rPr>
              <w:t>99</w:t>
            </w:r>
            <w:r>
              <w:rPr>
                <w:rFonts w:hint="eastAsia" w:ascii="仿宋" w:hAnsi="仿宋" w:eastAsia="仿宋" w:cs="仿宋"/>
                <w:color w:val="auto"/>
                <w:kern w:val="24"/>
                <w:sz w:val="24"/>
              </w:rPr>
              <w:t>〕</w:t>
            </w:r>
          </w:p>
        </w:tc>
        <w:tc>
          <w:tcPr>
            <w:tcW w:w="5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ascii="仿宋" w:hAnsi="仿宋" w:eastAsia="仿宋" w:cs="仿宋"/>
                <w:color w:val="auto"/>
                <w:kern w:val="24"/>
                <w:sz w:val="24"/>
              </w:rPr>
            </w:pPr>
            <w:r>
              <w:rPr>
                <w:rFonts w:hint="eastAsia" w:ascii="仿宋" w:hAnsi="仿宋" w:eastAsia="仿宋" w:cs="仿宋"/>
                <w:color w:val="auto"/>
                <w:kern w:val="24"/>
                <w:sz w:val="24"/>
              </w:rPr>
              <w:t>约束性</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12</w:t>
            </w:r>
          </w:p>
        </w:tc>
        <w:tc>
          <w:tcPr>
            <w:tcW w:w="235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再生水利用率（%）</w:t>
            </w:r>
          </w:p>
        </w:tc>
        <w:tc>
          <w:tcPr>
            <w:tcW w:w="8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25</w:t>
            </w:r>
          </w:p>
        </w:tc>
        <w:tc>
          <w:tcPr>
            <w:tcW w:w="88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hint="default" w:ascii="仿宋" w:hAnsi="仿宋" w:eastAsia="仿宋" w:cs="仿宋"/>
                <w:color w:val="auto"/>
                <w:kern w:val="24"/>
                <w:sz w:val="24"/>
                <w:lang w:val="en-US" w:eastAsia="zh-CN"/>
              </w:rPr>
            </w:pPr>
            <w:r>
              <w:rPr>
                <w:rFonts w:hint="eastAsia" w:ascii="仿宋" w:hAnsi="仿宋" w:eastAsia="仿宋" w:cs="仿宋"/>
                <w:color w:val="auto"/>
                <w:kern w:val="24"/>
                <w:sz w:val="24"/>
                <w:lang w:val="en-US" w:eastAsia="zh-CN"/>
              </w:rPr>
              <w:t>35</w:t>
            </w:r>
          </w:p>
        </w:tc>
        <w:tc>
          <w:tcPr>
            <w:tcW w:w="53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 w:hAnsi="仿宋" w:eastAsia="仿宋" w:cs="仿宋"/>
                <w:color w:val="auto"/>
                <w:kern w:val="24"/>
                <w:sz w:val="24"/>
              </w:rPr>
            </w:pPr>
            <w:r>
              <w:rPr>
                <w:rFonts w:hint="eastAsia" w:ascii="仿宋" w:hAnsi="仿宋" w:eastAsia="仿宋" w:cs="仿宋"/>
                <w:color w:val="auto"/>
                <w:kern w:val="24"/>
                <w:sz w:val="24"/>
              </w:rPr>
              <w:t>预期性</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13</w:t>
            </w:r>
          </w:p>
        </w:tc>
        <w:tc>
          <w:tcPr>
            <w:tcW w:w="235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农村生活污水治理率（%）</w:t>
            </w: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〔50〕</w:t>
            </w:r>
          </w:p>
        </w:tc>
        <w:tc>
          <w:tcPr>
            <w:tcW w:w="88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w:t>
            </w:r>
            <w:r>
              <w:rPr>
                <w:rFonts w:hint="eastAsia" w:ascii="仿宋" w:hAnsi="仿宋" w:eastAsia="仿宋" w:cs="仿宋"/>
                <w:color w:val="auto"/>
                <w:kern w:val="24"/>
                <w:sz w:val="24"/>
                <w:lang w:val="en-US" w:eastAsia="zh-CN"/>
              </w:rPr>
              <w:t>10</w:t>
            </w:r>
            <w:r>
              <w:rPr>
                <w:rFonts w:hint="eastAsia" w:ascii="仿宋" w:hAnsi="仿宋" w:eastAsia="仿宋" w:cs="仿宋"/>
                <w:color w:val="auto"/>
                <w:kern w:val="24"/>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约束性</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14</w:t>
            </w:r>
          </w:p>
        </w:tc>
        <w:tc>
          <w:tcPr>
            <w:tcW w:w="235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textAlignment w:val="center"/>
              <w:rPr>
                <w:rFonts w:ascii="仿宋" w:hAnsi="仿宋" w:eastAsia="仿宋" w:cs="仿宋"/>
                <w:color w:val="auto"/>
                <w:kern w:val="0"/>
                <w:sz w:val="24"/>
              </w:rPr>
            </w:pPr>
            <w:r>
              <w:rPr>
                <w:rFonts w:hint="eastAsia" w:ascii="仿宋" w:hAnsi="仿宋" w:eastAsia="仿宋" w:cs="仿宋"/>
                <w:color w:val="auto"/>
                <w:kern w:val="24"/>
                <w:sz w:val="24"/>
              </w:rPr>
              <w:t>新增水土流失综合治理面积（km</w:t>
            </w:r>
            <w:r>
              <w:rPr>
                <w:rFonts w:hint="eastAsia" w:ascii="仿宋" w:hAnsi="仿宋" w:eastAsia="仿宋" w:cs="仿宋"/>
                <w:color w:val="auto"/>
                <w:kern w:val="24"/>
                <w:sz w:val="24"/>
                <w:vertAlign w:val="superscript"/>
              </w:rPr>
              <w:t>2</w:t>
            </w:r>
            <w:r>
              <w:rPr>
                <w:rFonts w:hint="eastAsia" w:ascii="仿宋" w:hAnsi="仿宋" w:eastAsia="仿宋" w:cs="仿宋"/>
                <w:color w:val="auto"/>
                <w:kern w:val="24"/>
                <w:sz w:val="24"/>
              </w:rPr>
              <w:t>）</w:t>
            </w: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仿宋"/>
                <w:color w:val="auto"/>
                <w:sz w:val="24"/>
              </w:rPr>
            </w:pPr>
            <w:r>
              <w:rPr>
                <w:rFonts w:hint="eastAsia" w:ascii="仿宋" w:hAnsi="仿宋" w:eastAsia="仿宋" w:cs="仿宋"/>
                <w:color w:val="auto"/>
                <w:sz w:val="24"/>
              </w:rPr>
              <w:t>332</w:t>
            </w:r>
          </w:p>
        </w:tc>
        <w:tc>
          <w:tcPr>
            <w:tcW w:w="88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300</w:t>
            </w:r>
          </w:p>
        </w:tc>
        <w:tc>
          <w:tcPr>
            <w:tcW w:w="53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color w:val="auto"/>
                <w:kern w:val="0"/>
                <w:sz w:val="24"/>
              </w:rPr>
            </w:pPr>
            <w:r>
              <w:rPr>
                <w:rFonts w:hint="eastAsia" w:ascii="仿宋" w:hAnsi="仿宋" w:eastAsia="仿宋" w:cs="仿宋"/>
                <w:color w:val="auto"/>
                <w:kern w:val="24"/>
                <w:sz w:val="24"/>
              </w:rPr>
              <w:t>预期性</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15</w:t>
            </w:r>
          </w:p>
        </w:tc>
        <w:tc>
          <w:tcPr>
            <w:tcW w:w="235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color w:val="auto"/>
                <w:kern w:val="0"/>
                <w:sz w:val="24"/>
              </w:rPr>
            </w:pPr>
            <w:r>
              <w:rPr>
                <w:rFonts w:hint="eastAsia" w:ascii="仿宋" w:hAnsi="仿宋" w:eastAsia="仿宋" w:cs="仿宋"/>
                <w:color w:val="auto"/>
                <w:kern w:val="24"/>
                <w:sz w:val="24"/>
                <w:lang w:val="en-US" w:eastAsia="zh-CN"/>
              </w:rPr>
              <w:t>水土保持</w:t>
            </w:r>
            <w:r>
              <w:rPr>
                <w:rFonts w:hint="eastAsia" w:ascii="仿宋" w:hAnsi="仿宋" w:eastAsia="仿宋" w:cs="仿宋"/>
                <w:color w:val="auto"/>
                <w:kern w:val="24"/>
                <w:sz w:val="24"/>
              </w:rPr>
              <w:t>率（%）</w:t>
            </w:r>
          </w:p>
        </w:tc>
        <w:tc>
          <w:tcPr>
            <w:tcW w:w="8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color w:val="auto"/>
                <w:kern w:val="24"/>
                <w:sz w:val="24"/>
              </w:rPr>
            </w:pPr>
            <w:r>
              <w:rPr>
                <w:rFonts w:hint="eastAsia" w:ascii="仿宋" w:hAnsi="仿宋" w:eastAsia="仿宋" w:cs="仿宋"/>
                <w:color w:val="auto"/>
                <w:kern w:val="24"/>
                <w:sz w:val="24"/>
              </w:rPr>
              <w:t>〔</w:t>
            </w:r>
            <w:r>
              <w:rPr>
                <w:rFonts w:hint="eastAsia" w:ascii="仿宋" w:hAnsi="仿宋" w:eastAsia="仿宋" w:cs="仿宋"/>
                <w:color w:val="auto"/>
                <w:kern w:val="24"/>
                <w:sz w:val="24"/>
                <w:lang w:val="en-US" w:eastAsia="zh-CN"/>
              </w:rPr>
              <w:t>91</w:t>
            </w:r>
            <w:r>
              <w:rPr>
                <w:rFonts w:hint="eastAsia" w:ascii="仿宋" w:hAnsi="仿宋" w:eastAsia="仿宋" w:cs="仿宋"/>
                <w:color w:val="auto"/>
                <w:kern w:val="24"/>
                <w:sz w:val="24"/>
              </w:rPr>
              <w:t>〕</w:t>
            </w:r>
          </w:p>
        </w:tc>
        <w:tc>
          <w:tcPr>
            <w:tcW w:w="88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ascii="仿宋" w:hAnsi="仿宋" w:eastAsia="仿宋" w:cs="仿宋"/>
                <w:color w:val="auto"/>
                <w:kern w:val="0"/>
                <w:sz w:val="24"/>
              </w:rPr>
            </w:pPr>
            <w:r>
              <w:rPr>
                <w:rFonts w:hint="eastAsia" w:ascii="仿宋" w:hAnsi="仿宋" w:eastAsia="仿宋" w:cs="仿宋"/>
                <w:color w:val="auto"/>
                <w:kern w:val="24"/>
                <w:sz w:val="24"/>
              </w:rPr>
              <w:t>〔</w:t>
            </w:r>
            <w:r>
              <w:rPr>
                <w:rFonts w:hint="eastAsia" w:ascii="仿宋" w:hAnsi="仿宋" w:eastAsia="仿宋" w:cs="仿宋"/>
                <w:color w:val="auto"/>
                <w:kern w:val="24"/>
                <w:sz w:val="24"/>
                <w:lang w:val="en-US" w:eastAsia="zh-CN"/>
              </w:rPr>
              <w:t>92</w:t>
            </w:r>
            <w:r>
              <w:rPr>
                <w:rFonts w:hint="eastAsia" w:ascii="仿宋" w:hAnsi="仿宋" w:eastAsia="仿宋" w:cs="仿宋"/>
                <w:color w:val="auto"/>
                <w:kern w:val="24"/>
                <w:sz w:val="24"/>
              </w:rPr>
              <w:t>〕</w:t>
            </w:r>
          </w:p>
        </w:tc>
        <w:tc>
          <w:tcPr>
            <w:tcW w:w="53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 w:hAnsi="仿宋" w:eastAsia="仿宋" w:cs="仿宋"/>
                <w:color w:val="auto"/>
                <w:kern w:val="0"/>
                <w:sz w:val="24"/>
              </w:rPr>
            </w:pPr>
            <w:r>
              <w:rPr>
                <w:rFonts w:hint="eastAsia" w:ascii="仿宋" w:hAnsi="仿宋" w:eastAsia="仿宋" w:cs="仿宋"/>
                <w:color w:val="auto"/>
                <w:kern w:val="24"/>
                <w:sz w:val="24"/>
              </w:rPr>
              <w:t>约束性</w:t>
            </w:r>
          </w:p>
        </w:tc>
      </w:tr>
      <w:tr>
        <w:tblPrEx>
          <w:tblCellMar>
            <w:top w:w="0" w:type="dxa"/>
            <w:left w:w="0" w:type="dxa"/>
            <w:bottom w:w="0" w:type="dxa"/>
            <w:right w:w="0" w:type="dxa"/>
          </w:tblCellMar>
        </w:tblPrEx>
        <w:trPr>
          <w:trHeight w:val="397" w:hRule="exact"/>
        </w:trPr>
        <w:tc>
          <w:tcPr>
            <w:tcW w:w="41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hint="eastAsia" w:ascii="仿宋" w:hAnsi="仿宋" w:eastAsia="仿宋" w:cs="仿宋"/>
                <w:color w:val="auto"/>
                <w:kern w:val="24"/>
                <w:sz w:val="24"/>
                <w:szCs w:val="24"/>
                <w:highlight w:val="none"/>
                <w:lang w:val="en-US" w:eastAsia="zh-CN" w:bidi="ar-SA"/>
              </w:rPr>
            </w:pPr>
            <w:r>
              <w:rPr>
                <w:rFonts w:hint="eastAsia" w:ascii="仿宋" w:hAnsi="仿宋" w:eastAsia="仿宋" w:cs="仿宋"/>
                <w:color w:val="auto"/>
                <w:kern w:val="24"/>
                <w:sz w:val="24"/>
                <w:highlight w:val="none"/>
                <w:lang w:val="en-US" w:eastAsia="zh-CN"/>
              </w:rPr>
              <w:t>16</w:t>
            </w:r>
          </w:p>
        </w:tc>
        <w:tc>
          <w:tcPr>
            <w:tcW w:w="235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textAlignment w:val="center"/>
              <w:rPr>
                <w:rFonts w:hint="eastAsia" w:ascii="仿宋" w:hAnsi="仿宋" w:eastAsia="仿宋" w:cs="仿宋"/>
                <w:color w:val="auto"/>
                <w:kern w:val="24"/>
                <w:sz w:val="24"/>
                <w:szCs w:val="24"/>
                <w:highlight w:val="none"/>
                <w:lang w:val="en-US" w:eastAsia="zh-CN" w:bidi="ar-SA"/>
              </w:rPr>
            </w:pPr>
            <w:r>
              <w:rPr>
                <w:rFonts w:hint="eastAsia" w:ascii="仿宋" w:hAnsi="仿宋" w:eastAsia="仿宋" w:cs="仿宋"/>
                <w:color w:val="auto"/>
                <w:kern w:val="24"/>
                <w:sz w:val="24"/>
                <w:highlight w:val="none"/>
              </w:rPr>
              <w:t>农村</w:t>
            </w:r>
            <w:r>
              <w:rPr>
                <w:rFonts w:hint="eastAsia" w:ascii="仿宋" w:hAnsi="仿宋" w:eastAsia="仿宋" w:cs="仿宋"/>
                <w:color w:val="auto"/>
                <w:kern w:val="24"/>
                <w:sz w:val="24"/>
                <w:highlight w:val="none"/>
                <w:lang w:val="en-US" w:eastAsia="zh-CN"/>
              </w:rPr>
              <w:t>黑臭水体</w:t>
            </w:r>
            <w:r>
              <w:rPr>
                <w:rFonts w:hint="eastAsia" w:ascii="仿宋" w:hAnsi="仿宋" w:eastAsia="仿宋" w:cs="仿宋"/>
                <w:color w:val="auto"/>
                <w:kern w:val="24"/>
                <w:sz w:val="24"/>
                <w:highlight w:val="none"/>
              </w:rPr>
              <w:t>治理率（%</w:t>
            </w:r>
            <w:r>
              <w:rPr>
                <w:rFonts w:hint="eastAsia" w:ascii="仿宋" w:hAnsi="仿宋" w:eastAsia="仿宋" w:cs="仿宋"/>
                <w:color w:val="auto"/>
                <w:kern w:val="24"/>
                <w:sz w:val="24"/>
                <w:highlight w:val="none"/>
                <w:lang w:eastAsia="zh-CN"/>
              </w:rPr>
              <w:t>）</w:t>
            </w: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hint="eastAsia" w:ascii="仿宋" w:hAnsi="仿宋" w:eastAsia="仿宋" w:cs="仿宋"/>
                <w:color w:val="auto"/>
                <w:kern w:val="24"/>
                <w:sz w:val="24"/>
                <w:szCs w:val="24"/>
                <w:highlight w:val="none"/>
                <w:lang w:val="en-US" w:eastAsia="zh-CN" w:bidi="ar-SA"/>
              </w:rPr>
            </w:pPr>
            <w:r>
              <w:rPr>
                <w:rFonts w:hint="eastAsia" w:ascii="仿宋" w:hAnsi="仿宋" w:eastAsia="仿宋" w:cs="仿宋"/>
                <w:color w:val="auto"/>
                <w:kern w:val="24"/>
                <w:sz w:val="24"/>
                <w:highlight w:val="none"/>
              </w:rPr>
              <w:t>〔</w:t>
            </w:r>
            <w:r>
              <w:rPr>
                <w:rFonts w:hint="eastAsia" w:ascii="仿宋" w:hAnsi="仿宋" w:eastAsia="仿宋" w:cs="仿宋"/>
                <w:color w:val="auto"/>
                <w:kern w:val="24"/>
                <w:sz w:val="24"/>
                <w:highlight w:val="none"/>
                <w:lang w:val="en-US" w:eastAsia="zh-CN"/>
              </w:rPr>
              <w:t>0</w:t>
            </w:r>
            <w:r>
              <w:rPr>
                <w:rFonts w:hint="eastAsia" w:ascii="仿宋" w:hAnsi="仿宋" w:eastAsia="仿宋" w:cs="仿宋"/>
                <w:color w:val="auto"/>
                <w:kern w:val="24"/>
                <w:sz w:val="24"/>
                <w:highlight w:val="none"/>
              </w:rPr>
              <w:t>〕</w:t>
            </w:r>
          </w:p>
        </w:tc>
        <w:tc>
          <w:tcPr>
            <w:tcW w:w="88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hint="eastAsia" w:ascii="仿宋" w:hAnsi="仿宋" w:eastAsia="仿宋" w:cs="仿宋"/>
                <w:color w:val="auto"/>
                <w:kern w:val="24"/>
                <w:sz w:val="24"/>
                <w:szCs w:val="24"/>
                <w:highlight w:val="none"/>
                <w:lang w:val="en-US" w:eastAsia="zh-CN" w:bidi="ar-SA"/>
              </w:rPr>
            </w:pPr>
            <w:r>
              <w:rPr>
                <w:rFonts w:hint="eastAsia" w:ascii="仿宋" w:hAnsi="仿宋" w:eastAsia="仿宋" w:cs="仿宋"/>
                <w:color w:val="auto"/>
                <w:kern w:val="24"/>
                <w:sz w:val="24"/>
                <w:highlight w:val="none"/>
              </w:rPr>
              <w:t>〔</w:t>
            </w:r>
            <w:r>
              <w:rPr>
                <w:rFonts w:hint="eastAsia" w:ascii="仿宋" w:hAnsi="仿宋" w:eastAsia="仿宋" w:cs="仿宋"/>
                <w:color w:val="auto"/>
                <w:kern w:val="24"/>
                <w:sz w:val="24"/>
                <w:highlight w:val="none"/>
                <w:lang w:val="en-US" w:eastAsia="zh-CN"/>
              </w:rPr>
              <w:t>10</w:t>
            </w:r>
            <w:r>
              <w:rPr>
                <w:rFonts w:hint="eastAsia" w:ascii="仿宋" w:hAnsi="仿宋" w:eastAsia="仿宋" w:cs="仿宋"/>
                <w:color w:val="auto"/>
                <w:kern w:val="24"/>
                <w:sz w:val="24"/>
                <w:highlight w:val="none"/>
              </w:rPr>
              <w:t>0〕</w:t>
            </w:r>
          </w:p>
        </w:tc>
        <w:tc>
          <w:tcPr>
            <w:tcW w:w="538"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hint="eastAsia" w:ascii="仿宋" w:hAnsi="仿宋" w:eastAsia="仿宋" w:cs="仿宋"/>
                <w:color w:val="auto"/>
                <w:kern w:val="24"/>
                <w:sz w:val="24"/>
                <w:szCs w:val="24"/>
                <w:highlight w:val="none"/>
                <w:lang w:val="en-US" w:eastAsia="zh-CN" w:bidi="ar-SA"/>
              </w:rPr>
            </w:pPr>
            <w:r>
              <w:rPr>
                <w:rFonts w:hint="eastAsia" w:ascii="仿宋" w:hAnsi="仿宋" w:eastAsia="仿宋" w:cs="仿宋"/>
                <w:color w:val="auto"/>
                <w:kern w:val="24"/>
                <w:sz w:val="24"/>
                <w:highlight w:val="none"/>
              </w:rPr>
              <w:t>约束性</w:t>
            </w:r>
          </w:p>
        </w:tc>
      </w:tr>
    </w:tbl>
    <w:p>
      <w:pPr>
        <w:tabs>
          <w:tab w:val="left" w:pos="4648"/>
          <w:tab w:val="left" w:pos="6930"/>
        </w:tabs>
        <w:spacing w:before="0"/>
        <w:ind w:right="0" w:firstLine="180" w:firstLineChars="100"/>
        <w:jc w:val="left"/>
        <w:rPr>
          <w:rFonts w:hint="eastAsia" w:ascii="仿宋_GB2312" w:hAnsi="仿宋_GB2312" w:eastAsia="仿宋_GB2312" w:cs="仿宋_GB2312"/>
          <w:sz w:val="20"/>
          <w:szCs w:val="20"/>
        </w:rPr>
      </w:pPr>
      <w:r>
        <w:rPr>
          <w:rFonts w:hint="eastAsia" w:ascii="仿宋_GB2312" w:hAnsi="仿宋_GB2312" w:eastAsia="仿宋_GB2312" w:cs="仿宋_GB2312"/>
          <w:w w:val="90"/>
          <w:sz w:val="20"/>
          <w:szCs w:val="20"/>
        </w:rPr>
        <w:t>注：</w:t>
      </w:r>
      <w:r>
        <w:rPr>
          <w:rFonts w:hint="eastAsia" w:ascii="仿宋_GB2312" w:hAnsi="仿宋_GB2312" w:eastAsia="仿宋_GB2312" w:cs="仿宋_GB2312"/>
          <w:w w:val="90"/>
          <w:sz w:val="20"/>
          <w:szCs w:val="20"/>
          <w:lang w:val="en-US" w:eastAsia="zh-CN"/>
        </w:rPr>
        <w:t xml:space="preserve"> 1.</w:t>
      </w:r>
      <w:r>
        <w:rPr>
          <w:rFonts w:hint="eastAsia" w:ascii="仿宋_GB2312" w:hAnsi="仿宋_GB2312" w:eastAsia="仿宋_GB2312" w:cs="仿宋_GB2312"/>
          <w:w w:val="90"/>
          <w:sz w:val="20"/>
          <w:szCs w:val="20"/>
        </w:rPr>
        <w:t>带［</w:t>
      </w:r>
      <w:r>
        <w:rPr>
          <w:rFonts w:hint="eastAsia" w:ascii="仿宋_GB2312" w:hAnsi="仿宋_GB2312" w:eastAsia="仿宋_GB2312" w:cs="仿宋_GB2312"/>
          <w:w w:val="95"/>
          <w:sz w:val="20"/>
          <w:szCs w:val="20"/>
        </w:rPr>
        <w:t>］为期末达到数，其余为</w:t>
      </w:r>
      <w:r>
        <w:rPr>
          <w:rFonts w:hint="eastAsia" w:ascii="仿宋_GB2312" w:hAnsi="仿宋_GB2312" w:eastAsia="仿宋_GB2312" w:cs="仿宋_GB2312"/>
          <w:sz w:val="20"/>
          <w:szCs w:val="20"/>
          <w:lang w:val="en-US" w:eastAsia="zh-CN"/>
        </w:rPr>
        <w:t>5</w:t>
      </w:r>
      <w:r>
        <w:rPr>
          <w:rFonts w:hint="eastAsia" w:ascii="仿宋_GB2312" w:hAnsi="仿宋_GB2312" w:eastAsia="仿宋_GB2312" w:cs="仿宋_GB2312"/>
          <w:sz w:val="20"/>
          <w:szCs w:val="20"/>
        </w:rPr>
        <w:t>年累计数。</w:t>
      </w:r>
    </w:p>
    <w:p>
      <w:pPr>
        <w:pStyle w:val="29"/>
        <w:keepNext w:val="0"/>
        <w:keepLines w:val="0"/>
        <w:pageBreakBefore w:val="0"/>
        <w:widowControl w:val="0"/>
        <w:numPr>
          <w:ilvl w:val="0"/>
          <w:numId w:val="0"/>
        </w:numPr>
        <w:tabs>
          <w:tab w:val="left" w:pos="1795"/>
        </w:tabs>
        <w:kinsoku/>
        <w:wordWrap/>
        <w:overflowPunct/>
        <w:topLinePunct w:val="0"/>
        <w:autoSpaceDE/>
        <w:autoSpaceDN/>
        <w:bidi w:val="0"/>
        <w:adjustRightInd w:val="0"/>
        <w:snapToGrid w:val="0"/>
        <w:spacing w:after="0" w:line="240" w:lineRule="auto"/>
        <w:ind w:leftChars="0" w:right="0" w:rightChars="0" w:firstLine="618" w:firstLineChars="30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spacing w:val="3"/>
          <w:sz w:val="20"/>
          <w:szCs w:val="20"/>
          <w:lang w:val="en-US" w:eastAsia="zh-CN"/>
        </w:rPr>
        <w:t>2.</w:t>
      </w:r>
      <w:r>
        <w:rPr>
          <w:rFonts w:hint="eastAsia" w:ascii="仿宋_GB2312" w:hAnsi="仿宋_GB2312" w:eastAsia="仿宋_GB2312" w:cs="仿宋_GB2312"/>
          <w:spacing w:val="3"/>
          <w:sz w:val="20"/>
          <w:szCs w:val="20"/>
        </w:rPr>
        <w:t>用水总量控制、万元</w:t>
      </w:r>
      <w:r>
        <w:rPr>
          <w:rFonts w:hint="eastAsia" w:ascii="仿宋_GB2312" w:hAnsi="仿宋_GB2312" w:eastAsia="仿宋_GB2312" w:cs="仿宋_GB2312"/>
          <w:sz w:val="20"/>
          <w:szCs w:val="20"/>
        </w:rPr>
        <w:t>GDP用水量下降、万元工业增加值用水量</w:t>
      </w:r>
      <w:r>
        <w:rPr>
          <w:rFonts w:hint="eastAsia" w:ascii="仿宋_GB2312" w:hAnsi="仿宋_GB2312" w:eastAsia="仿宋_GB2312" w:cs="仿宋_GB2312"/>
          <w:color w:val="auto"/>
          <w:sz w:val="20"/>
          <w:szCs w:val="20"/>
        </w:rPr>
        <w:t>等指标为暂定指标，最终以国家批准下达目标为准。</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14" w:name="_Toc27638"/>
      <w:r>
        <w:rPr>
          <w:rFonts w:hint="eastAsia" w:ascii="楷体" w:hAnsi="楷体" w:eastAsia="楷体" w:cs="仿宋_GB2312"/>
          <w:color w:val="auto"/>
        </w:rPr>
        <w:t>（</w:t>
      </w:r>
      <w:r>
        <w:rPr>
          <w:rFonts w:hint="eastAsia" w:ascii="楷体" w:hAnsi="楷体" w:eastAsia="楷体" w:cs="仿宋_GB2312"/>
          <w:color w:val="auto"/>
          <w:lang w:val="en-US" w:eastAsia="zh-CN"/>
        </w:rPr>
        <w:t>四</w:t>
      </w:r>
      <w:r>
        <w:rPr>
          <w:rFonts w:hint="eastAsia" w:ascii="楷体" w:hAnsi="楷体" w:eastAsia="楷体" w:cs="仿宋_GB2312"/>
          <w:color w:val="auto"/>
        </w:rPr>
        <w:t>）总体布局</w:t>
      </w:r>
      <w:bookmarkEnd w:id="14"/>
    </w:p>
    <w:p>
      <w:pPr>
        <w:pageBreakBefore w:val="0"/>
        <w:kinsoku/>
        <w:wordWrap/>
        <w:overflowPunct/>
        <w:topLinePunct w:val="0"/>
        <w:bidi w:val="0"/>
        <w:adjustRightInd w:val="0"/>
        <w:snapToGrid w:val="0"/>
        <w:spacing w:line="36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南水北调东线干线、南四湖和省级水网为依托，实施南水北调地方配套、南四湖湖东堤郗山至韩庄段封闭、河道治理、病险水库水闸除险加固、山洪灾害治理、城市防洪排涝能力建设、河道拦蓄、引黄西线、引湖济西、湖水东调工程和尼山世界文明论坛区域水生态修复与治理工程、大型灌区续建配套与节水改造、农村生活污水治理，充分利用</w:t>
      </w:r>
      <w:r>
        <w:rPr>
          <w:rFonts w:hint="eastAsia" w:ascii="仿宋_GB2312" w:hAnsi="仿宋_GB2312" w:eastAsia="仿宋_GB2312" w:cs="仿宋_GB2312"/>
          <w:color w:val="auto"/>
          <w:sz w:val="32"/>
          <w:szCs w:val="32"/>
          <w:lang w:eastAsia="zh-CN"/>
        </w:rPr>
        <w:t>积水采煤塌陷地</w:t>
      </w:r>
      <w:r>
        <w:rPr>
          <w:rFonts w:hint="eastAsia" w:ascii="仿宋_GB2312" w:hAnsi="仿宋_GB2312" w:eastAsia="仿宋_GB2312" w:cs="仿宋_GB2312"/>
          <w:color w:val="auto"/>
          <w:sz w:val="32"/>
          <w:szCs w:val="32"/>
        </w:rPr>
        <w:t>拦蓄雨洪水，构建济宁市大水网，抓好工程建设与体制建设两个着力点，双向发力，</w:t>
      </w:r>
      <w:r>
        <w:rPr>
          <w:rFonts w:ascii="仿宋_GB2312" w:hAnsi="仿宋_GB2312" w:eastAsia="仿宋_GB2312" w:cs="仿宋_GB2312"/>
          <w:color w:val="auto"/>
          <w:kern w:val="0"/>
          <w:sz w:val="32"/>
          <w:szCs w:val="32"/>
        </w:rPr>
        <w:t>实施严节水、保供水、防洪水、排涝水、治污水、强蓄水“六水”共治，地表水、地下水、黄河水、长江水、非常规水“五水”并用，构建可靠的水资源保障、安全的防洪排涝、健康的水系生态、高效的水务管理</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智慧的水务信息化“五大”体系</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为保障全市经济社会高质量发展，建设新时代现代化强市提供可靠的水资源支撑和保障。</w:t>
      </w:r>
    </w:p>
    <w:p>
      <w:pPr>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围绕上述布局，重点实施1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项建设和管理任务，分别为“</w:t>
      </w:r>
      <w:r>
        <w:rPr>
          <w:rFonts w:hint="eastAsia" w:ascii="仿宋_GB2312" w:hAnsi="仿宋_GB2312" w:eastAsia="仿宋_GB2312" w:cs="仿宋_GB2312"/>
          <w:color w:val="auto"/>
          <w:sz w:val="32"/>
          <w:szCs w:val="32"/>
          <w:lang w:val="en-US" w:eastAsia="zh-CN"/>
        </w:rPr>
        <w:t>完善水利基础设施网络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建立高效的水务管理体系</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val="en-US" w:eastAsia="zh-CN"/>
        </w:rPr>
        <w:t>激发水利发展内生动力</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完善水利基础设施网络</w:t>
      </w:r>
      <w:r>
        <w:rPr>
          <w:rFonts w:hint="eastAsia" w:ascii="仿宋_GB2312" w:hAnsi="仿宋_GB2312" w:eastAsia="仿宋_GB2312" w:cs="仿宋_GB2312"/>
          <w:color w:val="auto"/>
          <w:sz w:val="32"/>
          <w:szCs w:val="32"/>
        </w:rPr>
        <w:t>”方面，继续实施构建防洪、供水、生态、信息化4大工程体系建设任务；在“</w:t>
      </w:r>
      <w:r>
        <w:rPr>
          <w:rFonts w:hint="eastAsia" w:ascii="仿宋_GB2312" w:hAnsi="仿宋_GB2312" w:eastAsia="仿宋_GB2312" w:cs="仿宋_GB2312"/>
          <w:color w:val="auto"/>
          <w:sz w:val="32"/>
          <w:szCs w:val="32"/>
          <w:lang w:val="en-US" w:eastAsia="zh-CN"/>
        </w:rPr>
        <w:t>建立高效的水务管理体系</w:t>
      </w:r>
      <w:r>
        <w:rPr>
          <w:rFonts w:hint="eastAsia" w:ascii="仿宋_GB2312" w:hAnsi="仿宋_GB2312" w:eastAsia="仿宋_GB2312" w:cs="仿宋_GB2312"/>
          <w:color w:val="auto"/>
          <w:sz w:val="32"/>
          <w:szCs w:val="32"/>
        </w:rPr>
        <w:t>”方面，重点强化水资源、河流湖泊、水工程、水土保持、水安全、水行政执法6项管理任务；在“</w:t>
      </w:r>
      <w:r>
        <w:rPr>
          <w:rFonts w:hint="eastAsia" w:ascii="仿宋_GB2312" w:hAnsi="仿宋_GB2312" w:eastAsia="仿宋_GB2312" w:cs="仿宋_GB2312"/>
          <w:color w:val="auto"/>
          <w:sz w:val="32"/>
          <w:szCs w:val="32"/>
          <w:lang w:val="en-US" w:eastAsia="zh-CN"/>
        </w:rPr>
        <w:t>激发水利发展内生动力</w:t>
      </w:r>
      <w:r>
        <w:rPr>
          <w:rFonts w:hint="eastAsia" w:ascii="仿宋_GB2312" w:hAnsi="仿宋_GB2312" w:eastAsia="仿宋_GB2312" w:cs="仿宋_GB2312"/>
          <w:color w:val="auto"/>
          <w:sz w:val="32"/>
          <w:szCs w:val="32"/>
        </w:rPr>
        <w:t>”方面，重点</w:t>
      </w:r>
      <w:r>
        <w:rPr>
          <w:rFonts w:hint="eastAsia" w:ascii="仿宋_GB2312" w:hAnsi="仿宋_GB2312" w:eastAsia="仿宋_GB2312" w:cs="仿宋_GB2312"/>
          <w:color w:val="auto"/>
          <w:sz w:val="32"/>
          <w:szCs w:val="32"/>
          <w:lang w:val="en-US" w:eastAsia="zh-CN"/>
        </w:rPr>
        <w:t>深化</w:t>
      </w:r>
      <w:r>
        <w:rPr>
          <w:rFonts w:hint="eastAsia" w:ascii="仿宋_GB2312" w:hAnsi="仿宋_GB2312" w:eastAsia="仿宋_GB2312" w:cs="仿宋_GB2312"/>
          <w:color w:val="auto"/>
          <w:sz w:val="32"/>
          <w:szCs w:val="32"/>
        </w:rPr>
        <w:t>水利法治体系、管护体制改革、水资源价税</w:t>
      </w:r>
      <w:r>
        <w:rPr>
          <w:rFonts w:hint="eastAsia" w:ascii="仿宋_GB2312" w:hAnsi="仿宋_GB2312" w:eastAsia="仿宋_GB2312" w:cs="仿宋_GB2312"/>
          <w:color w:val="auto"/>
          <w:sz w:val="32"/>
          <w:szCs w:val="32"/>
          <w:lang w:val="en-US" w:eastAsia="zh-CN"/>
        </w:rPr>
        <w:t>改革</w:t>
      </w:r>
      <w:r>
        <w:rPr>
          <w:rFonts w:hint="eastAsia" w:ascii="仿宋_GB2312" w:hAnsi="仿宋_GB2312" w:eastAsia="仿宋_GB2312" w:cs="仿宋_GB2312"/>
          <w:color w:val="auto"/>
          <w:sz w:val="32"/>
          <w:szCs w:val="32"/>
        </w:rPr>
        <w:t>、投融资机制改革、水库移民后期扶持、</w:t>
      </w:r>
      <w:r>
        <w:rPr>
          <w:rFonts w:hint="eastAsia" w:ascii="仿宋_GB2312" w:hAnsi="仿宋_GB2312" w:eastAsia="仿宋_GB2312" w:cs="仿宋_GB2312"/>
          <w:color w:val="auto"/>
          <w:sz w:val="32"/>
          <w:szCs w:val="32"/>
          <w:lang w:val="en-US" w:eastAsia="zh-CN"/>
        </w:rPr>
        <w:t>农村生活污水管理</w:t>
      </w:r>
      <w:r>
        <w:rPr>
          <w:rFonts w:hint="eastAsia" w:ascii="仿宋_GB2312" w:hAnsi="仿宋_GB2312" w:eastAsia="仿宋_GB2312" w:cs="仿宋_GB2312"/>
          <w:color w:val="auto"/>
          <w:sz w:val="32"/>
          <w:szCs w:val="32"/>
          <w:highlight w:val="none"/>
          <w:lang w:val="en-US" w:eastAsia="zh-CN"/>
        </w:rPr>
        <w:t>、农村黑臭水体治理、</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rPr>
        <w:t>才队伍建设、科技支撑</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项改革创新任务。</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pStyle w:val="4"/>
        <w:keepNext/>
        <w:keepLines/>
        <w:pageBreakBefore w:val="0"/>
        <w:widowControl w:val="0"/>
        <w:kinsoku/>
        <w:wordWrap/>
        <w:overflowPunct/>
        <w:topLinePunct w:val="0"/>
        <w:autoSpaceDE/>
        <w:autoSpaceDN/>
        <w:bidi w:val="0"/>
        <w:adjustRightInd w:val="0"/>
        <w:snapToGrid w:val="0"/>
        <w:spacing w:beforeLines="100" w:after="313" w:afterLines="100" w:line="360" w:lineRule="auto"/>
        <w:jc w:val="center"/>
        <w:textAlignment w:val="auto"/>
        <w:rPr>
          <w:rFonts w:hint="eastAsia" w:ascii="黑体" w:hAnsi="黑体" w:eastAsia="黑体" w:cs="Times New Roman"/>
          <w:b w:val="0"/>
          <w:bCs w:val="0"/>
          <w:color w:val="auto"/>
          <w:kern w:val="2"/>
          <w:sz w:val="32"/>
          <w:szCs w:val="32"/>
        </w:rPr>
      </w:pPr>
      <w:bookmarkStart w:id="15" w:name="_Toc7493"/>
      <w:bookmarkStart w:id="16" w:name="_Toc27394"/>
      <w:r>
        <w:rPr>
          <w:rFonts w:hint="eastAsia" w:ascii="黑体" w:hAnsi="黑体" w:eastAsia="黑体" w:cs="Times New Roman"/>
          <w:b w:val="0"/>
          <w:bCs w:val="0"/>
          <w:color w:val="auto"/>
          <w:kern w:val="2"/>
          <w:sz w:val="32"/>
          <w:szCs w:val="32"/>
        </w:rPr>
        <w:t>三、完善水利基础设施网络</w:t>
      </w:r>
      <w:bookmarkEnd w:id="15"/>
      <w:bookmarkEnd w:id="16"/>
    </w:p>
    <w:p>
      <w:pPr>
        <w:pStyle w:val="33"/>
        <w:pageBreakBefore w:val="0"/>
        <w:kinsoku/>
        <w:wordWrap/>
        <w:overflowPunct/>
        <w:topLinePunct w:val="0"/>
        <w:bidi w:val="0"/>
        <w:adjustRightInd w:val="0"/>
        <w:snapToGrid w:val="0"/>
        <w:spacing w:line="360" w:lineRule="auto"/>
        <w:ind w:firstLine="640" w:firstLineChars="200"/>
        <w:textAlignment w:val="auto"/>
        <w:rPr>
          <w:rFonts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立足跨流域区域水资源合理配置，结合国家水网和省骨干水网建设，优化完善我市水网布局。完善大中小微相互协调的水利工程体系，加强水利工程达标提标升级改造；着力补齐防洪、供水、水生态、数字化等短板,推动水利基础设施高质量发展。</w:t>
      </w:r>
    </w:p>
    <w:p>
      <w:pPr>
        <w:pStyle w:val="5"/>
        <w:keepNext/>
        <w:keepLines/>
        <w:pageBreakBefore w:val="0"/>
        <w:widowControl w:val="0"/>
        <w:kinsoku/>
        <w:wordWrap/>
        <w:overflowPunct/>
        <w:topLinePunct w:val="0"/>
        <w:autoSpaceDE/>
        <w:autoSpaceDN/>
        <w:bidi w:val="0"/>
        <w:adjustRightInd w:val="0"/>
        <w:snapToGrid w:val="0"/>
        <w:spacing w:before="0" w:beforeAutospacing="0" w:after="0" w:afterAutospacing="0" w:line="360" w:lineRule="auto"/>
        <w:textAlignment w:val="auto"/>
        <w:rPr>
          <w:rFonts w:hint="eastAsia" w:ascii="楷体" w:hAnsi="楷体" w:eastAsia="楷体" w:cs="仿宋_GB2312"/>
          <w:color w:val="auto"/>
        </w:rPr>
      </w:pPr>
      <w:bookmarkStart w:id="17" w:name="_Toc25279"/>
      <w:bookmarkStart w:id="18" w:name="_Toc9686"/>
      <w:bookmarkStart w:id="19" w:name="_Toc32555"/>
      <w:r>
        <w:rPr>
          <w:rFonts w:hint="eastAsia" w:ascii="楷体" w:hAnsi="楷体" w:eastAsia="楷体" w:cs="仿宋_GB2312"/>
          <w:color w:val="auto"/>
        </w:rPr>
        <w:t>（一）构建安全的防洪排涝工程体系</w:t>
      </w:r>
      <w:bookmarkEnd w:id="17"/>
      <w:bookmarkEnd w:id="18"/>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开展水利工程病险隐患排查和安全鉴定，及时消除隐患，加快河道治理、蓄滞洪区建设，实施小型涉水工程综合治理，构建以河道、水库、堤防、灌区、湖泊和蓄滞洪区为架构的水旱灾害防御工程体系，提升干旱洪涝灾害防御能力和超标准洪水应对能力。</w:t>
      </w:r>
    </w:p>
    <w:p>
      <w:pPr>
        <w:pStyle w:val="33"/>
        <w:pageBreakBefore w:val="0"/>
        <w:tabs>
          <w:tab w:val="left" w:pos="1131"/>
        </w:tabs>
        <w:kinsoku/>
        <w:wordWrap/>
        <w:overflowPunct/>
        <w:topLinePunct w:val="0"/>
        <w:bidi w:val="0"/>
        <w:adjustRightInd w:val="0"/>
        <w:snapToGrid w:val="0"/>
        <w:spacing w:line="360" w:lineRule="auto"/>
        <w:ind w:firstLine="642" w:firstLineChars="200"/>
        <w:textAlignment w:val="auto"/>
        <w:rPr>
          <w:rFonts w:hint="eastAsia" w:ascii="仿宋_GB2312" w:hAnsi="仿宋_GB2312" w:eastAsia="仿宋_GB2312" w:cs="仿宋_GB2312"/>
          <w:b/>
          <w:bCs/>
          <w:color w:val="auto"/>
          <w:kern w:val="0"/>
          <w:sz w:val="32"/>
          <w:szCs w:val="32"/>
          <w:lang w:val="en-US" w:eastAsia="zh-CN" w:bidi="ar-SA"/>
        </w:rPr>
      </w:pPr>
      <w:bookmarkStart w:id="20" w:name="_Toc661480005"/>
      <w:r>
        <w:rPr>
          <w:rFonts w:hint="eastAsia" w:ascii="仿宋_GB2312" w:hAnsi="仿宋_GB2312" w:eastAsia="仿宋_GB2312" w:cs="仿宋_GB2312"/>
          <w:b/>
          <w:bCs/>
          <w:color w:val="auto"/>
          <w:kern w:val="0"/>
          <w:sz w:val="32"/>
          <w:szCs w:val="32"/>
          <w:lang w:val="en-US" w:eastAsia="zh-CN" w:bidi="ar-SA"/>
        </w:rPr>
        <w:t>1、加快实施重大防洪工程</w:t>
      </w:r>
      <w:bookmarkEnd w:id="20"/>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加快南四湖湖东滞洪区建设，实施</w:t>
      </w:r>
      <w:r>
        <w:rPr>
          <w:rFonts w:hint="default" w:ascii="仿宋_GB2312" w:hAnsi="仿宋_GB2312" w:eastAsia="仿宋_GB2312" w:cs="仿宋_GB2312"/>
          <w:color w:val="auto"/>
          <w:kern w:val="0"/>
          <w:sz w:val="32"/>
          <w:szCs w:val="32"/>
          <w:lang w:val="en-US" w:eastAsia="zh-CN" w:bidi="ar-SA"/>
        </w:rPr>
        <w:t>南四湖湖东堤郗山至韩庄段封闭工程</w:t>
      </w:r>
      <w:r>
        <w:rPr>
          <w:rFonts w:hint="eastAsia" w:ascii="仿宋_GB2312" w:hAnsi="仿宋_GB2312" w:eastAsia="仿宋_GB2312" w:cs="仿宋_GB2312"/>
          <w:color w:val="auto"/>
          <w:kern w:val="0"/>
          <w:sz w:val="32"/>
          <w:szCs w:val="32"/>
          <w:lang w:val="en-US" w:eastAsia="zh-CN" w:bidi="ar-SA"/>
        </w:rPr>
        <w:t>；根据国家安排，适时开展沂沭泗河洪水东调南下提标工程建设，完善南四湖流域防洪工程体系。</w:t>
      </w:r>
    </w:p>
    <w:p>
      <w:pPr>
        <w:pStyle w:val="33"/>
        <w:keepNext w:val="0"/>
        <w:keepLines w:val="0"/>
        <w:pageBreakBefore w:val="0"/>
        <w:widowControl w:val="0"/>
        <w:tabs>
          <w:tab w:val="left" w:pos="1131"/>
        </w:tabs>
        <w:kinsoku/>
        <w:wordWrap/>
        <w:overflowPunct/>
        <w:topLinePunct w:val="0"/>
        <w:autoSpaceDE/>
        <w:autoSpaceDN/>
        <w:bidi w:val="0"/>
        <w:adjustRightInd w:val="0"/>
        <w:snapToGrid w:val="0"/>
        <w:spacing w:line="360" w:lineRule="auto"/>
        <w:ind w:firstLine="642" w:firstLineChars="200"/>
        <w:textAlignment w:val="auto"/>
        <w:rPr>
          <w:rFonts w:hint="eastAsia" w:ascii="仿宋_GB2312" w:hAnsi="仿宋_GB2312" w:eastAsia="仿宋_GB2312" w:cs="仿宋_GB2312"/>
          <w:b/>
          <w:bCs/>
          <w:color w:val="auto"/>
          <w:kern w:val="0"/>
          <w:sz w:val="32"/>
          <w:szCs w:val="32"/>
          <w:lang w:val="en-US" w:eastAsia="zh-CN" w:bidi="ar-SA"/>
        </w:rPr>
      </w:pPr>
      <w:bookmarkStart w:id="21" w:name="_Toc895130799"/>
      <w:r>
        <w:rPr>
          <w:rFonts w:hint="eastAsia" w:ascii="仿宋_GB2312" w:hAnsi="仿宋_GB2312" w:eastAsia="仿宋_GB2312" w:cs="仿宋_GB2312"/>
          <w:b/>
          <w:bCs/>
          <w:color w:val="auto"/>
          <w:kern w:val="0"/>
          <w:sz w:val="32"/>
          <w:szCs w:val="32"/>
          <w:lang w:val="en-US" w:eastAsia="zh-CN" w:bidi="ar-SA"/>
        </w:rPr>
        <w:t>2、加强河道防洪治理</w:t>
      </w:r>
      <w:bookmarkEnd w:id="21"/>
    </w:p>
    <w:p>
      <w:pPr>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加强</w:t>
      </w:r>
      <w:r>
        <w:rPr>
          <w:rFonts w:hint="eastAsia" w:ascii="仿宋_GB2312" w:hAnsi="仿宋_GB2312" w:eastAsia="仿宋_GB2312" w:cs="仿宋_GB2312"/>
          <w:color w:val="auto"/>
          <w:kern w:val="0"/>
          <w:sz w:val="32"/>
          <w:szCs w:val="32"/>
          <w:lang w:val="en-US" w:eastAsia="zh-CN"/>
        </w:rPr>
        <w:t>东鱼河、</w:t>
      </w:r>
      <w:r>
        <w:rPr>
          <w:rFonts w:hint="eastAsia" w:ascii="仿宋_GB2312" w:hAnsi="仿宋_GB2312" w:eastAsia="仿宋_GB2312" w:cs="仿宋_GB2312"/>
          <w:color w:val="auto"/>
          <w:kern w:val="0"/>
          <w:sz w:val="32"/>
          <w:szCs w:val="32"/>
        </w:rPr>
        <w:t>梁济运河上段治理，对洸府河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新万福河、白马河、湖东排水河</w:t>
      </w:r>
      <w:r>
        <w:rPr>
          <w:rFonts w:hint="eastAsia" w:ascii="仿宋_GB2312" w:hAnsi="仿宋_GB2312" w:eastAsia="仿宋_GB2312" w:cs="仿宋_GB2312"/>
          <w:color w:val="auto"/>
          <w:kern w:val="0"/>
          <w:sz w:val="32"/>
          <w:szCs w:val="32"/>
        </w:rPr>
        <w:t>等</w:t>
      </w:r>
      <w:r>
        <w:rPr>
          <w:rFonts w:hint="eastAsia" w:ascii="仿宋_GB2312" w:hAnsi="仿宋_GB2312" w:eastAsia="仿宋_GB2312" w:cs="仿宋_GB2312"/>
          <w:color w:val="auto"/>
          <w:kern w:val="0"/>
          <w:sz w:val="32"/>
          <w:szCs w:val="32"/>
          <w:lang w:val="en-US" w:eastAsia="zh-CN"/>
        </w:rPr>
        <w:t>14</w:t>
      </w:r>
      <w:r>
        <w:rPr>
          <w:rFonts w:hint="eastAsia" w:ascii="仿宋_GB2312" w:hAnsi="仿宋_GB2312" w:eastAsia="仿宋_GB2312" w:cs="仿宋_GB2312"/>
          <w:color w:val="auto"/>
          <w:kern w:val="0"/>
          <w:sz w:val="32"/>
          <w:szCs w:val="32"/>
        </w:rPr>
        <w:t>条列入国家治理规划的中小河道进行治理，提高河道防洪标准</w:t>
      </w:r>
      <w:r>
        <w:rPr>
          <w:rFonts w:hint="eastAsia" w:ascii="仿宋_GB2312" w:hAnsi="仿宋_GB2312" w:eastAsia="仿宋_GB2312" w:cs="仿宋_GB2312"/>
          <w:color w:val="auto"/>
          <w:kern w:val="0"/>
          <w:sz w:val="32"/>
          <w:szCs w:val="32"/>
          <w:lang w:eastAsia="zh-CN"/>
        </w:rPr>
        <w:t>。</w:t>
      </w:r>
    </w:p>
    <w:p>
      <w:pPr>
        <w:pStyle w:val="33"/>
        <w:pageBreakBefore w:val="0"/>
        <w:tabs>
          <w:tab w:val="left" w:pos="1131"/>
        </w:tabs>
        <w:kinsoku/>
        <w:wordWrap/>
        <w:overflowPunct/>
        <w:topLinePunct w:val="0"/>
        <w:bidi w:val="0"/>
        <w:adjustRightInd w:val="0"/>
        <w:snapToGrid w:val="0"/>
        <w:spacing w:line="360" w:lineRule="auto"/>
        <w:ind w:firstLine="642" w:firstLineChars="200"/>
        <w:textAlignment w:val="auto"/>
        <w:rPr>
          <w:rFonts w:hint="eastAsia" w:ascii="仿宋_GB2312" w:hAnsi="仿宋_GB2312" w:eastAsia="仿宋_GB2312" w:cs="仿宋_GB2312"/>
          <w:b/>
          <w:bCs/>
          <w:color w:val="auto"/>
          <w:kern w:val="0"/>
          <w:sz w:val="32"/>
          <w:szCs w:val="32"/>
          <w:lang w:val="en-US" w:eastAsia="zh-CN" w:bidi="ar-SA"/>
        </w:rPr>
      </w:pPr>
      <w:bookmarkStart w:id="22" w:name="_Toc271680382"/>
      <w:r>
        <w:rPr>
          <w:rFonts w:hint="eastAsia" w:ascii="仿宋_GB2312" w:hAnsi="仿宋_GB2312" w:eastAsia="仿宋_GB2312" w:cs="仿宋_GB2312"/>
          <w:b/>
          <w:bCs/>
          <w:color w:val="auto"/>
          <w:kern w:val="0"/>
          <w:sz w:val="32"/>
          <w:szCs w:val="32"/>
          <w:lang w:val="en-US" w:eastAsia="zh-CN" w:bidi="ar-SA"/>
        </w:rPr>
        <w:t>3、实施病险水库水闸除险加固</w:t>
      </w:r>
      <w:bookmarkEnd w:id="22"/>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开展水库、水闸等工程设施隐患排查和安全鉴定，</w:t>
      </w:r>
      <w:r>
        <w:rPr>
          <w:rFonts w:hint="eastAsia" w:ascii="仿宋_GB2312" w:hAnsi="仿宋_GB2312" w:eastAsia="仿宋_GB2312" w:cs="仿宋_GB2312"/>
          <w:color w:val="auto"/>
          <w:kern w:val="0"/>
          <w:sz w:val="32"/>
          <w:szCs w:val="32"/>
        </w:rPr>
        <w:t>实施西苇水库除险加固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对</w:t>
      </w:r>
      <w:r>
        <w:rPr>
          <w:rFonts w:hint="eastAsia" w:ascii="仿宋_GB2312" w:hAnsi="仿宋_GB2312" w:eastAsia="仿宋_GB2312" w:cs="仿宋_GB2312"/>
          <w:color w:val="auto"/>
          <w:kern w:val="0"/>
          <w:sz w:val="32"/>
          <w:szCs w:val="32"/>
        </w:rPr>
        <w:t>葛炉山水库等6</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座</w:t>
      </w:r>
      <w:r>
        <w:rPr>
          <w:rFonts w:hint="eastAsia" w:ascii="仿宋_GB2312" w:hAnsi="仿宋_GB2312" w:eastAsia="仿宋_GB2312" w:cs="仿宋_GB2312"/>
          <w:color w:val="auto"/>
          <w:kern w:val="0"/>
          <w:sz w:val="32"/>
          <w:szCs w:val="32"/>
          <w:lang w:val="en-US" w:eastAsia="zh-CN"/>
        </w:rPr>
        <w:t>列入国家治理规划的</w:t>
      </w:r>
      <w:r>
        <w:rPr>
          <w:rFonts w:hint="eastAsia" w:ascii="仿宋_GB2312" w:hAnsi="仿宋_GB2312" w:eastAsia="仿宋_GB2312" w:cs="仿宋_GB2312"/>
          <w:color w:val="auto"/>
          <w:kern w:val="0"/>
          <w:sz w:val="32"/>
          <w:szCs w:val="32"/>
        </w:rPr>
        <w:t>小型病险水库</w:t>
      </w:r>
      <w:r>
        <w:rPr>
          <w:rFonts w:hint="eastAsia" w:ascii="仿宋_GB2312" w:hAnsi="仿宋_GB2312" w:eastAsia="仿宋_GB2312" w:cs="仿宋_GB2312"/>
          <w:color w:val="auto"/>
          <w:kern w:val="0"/>
          <w:sz w:val="32"/>
          <w:szCs w:val="32"/>
          <w:lang w:val="en-US" w:eastAsia="zh-CN"/>
        </w:rPr>
        <w:t>以及所有存在安全隐患的小型水库进行</w:t>
      </w:r>
      <w:r>
        <w:rPr>
          <w:rFonts w:hint="eastAsia" w:ascii="仿宋_GB2312" w:hAnsi="仿宋_GB2312" w:eastAsia="仿宋_GB2312" w:cs="仿宋_GB2312"/>
          <w:color w:val="auto"/>
          <w:kern w:val="0"/>
          <w:sz w:val="32"/>
          <w:szCs w:val="32"/>
        </w:rPr>
        <w:t>除险加固，</w:t>
      </w:r>
      <w:r>
        <w:rPr>
          <w:rFonts w:hint="eastAsia" w:ascii="仿宋_GB2312" w:hAnsi="仿宋_GB2312" w:eastAsia="仿宋_GB2312" w:cs="仿宋_GB2312"/>
          <w:color w:val="auto"/>
          <w:kern w:val="0"/>
          <w:sz w:val="32"/>
          <w:szCs w:val="32"/>
          <w:lang w:val="en-US" w:eastAsia="zh-CN"/>
        </w:rPr>
        <w:t>对所有塘坝进行整治；</w:t>
      </w:r>
      <w:r>
        <w:rPr>
          <w:rFonts w:hint="eastAsia" w:ascii="仿宋_GB2312" w:hAnsi="仿宋_GB2312" w:eastAsia="仿宋_GB2312" w:cs="仿宋_GB2312"/>
          <w:color w:val="auto"/>
          <w:kern w:val="0"/>
          <w:sz w:val="32"/>
          <w:szCs w:val="32"/>
        </w:rPr>
        <w:t>实施</w:t>
      </w:r>
      <w:r>
        <w:rPr>
          <w:rFonts w:hint="eastAsia" w:ascii="仿宋_GB2312" w:hAnsi="仿宋_GB2312" w:eastAsia="仿宋_GB2312" w:cs="仿宋_GB2312"/>
          <w:color w:val="auto"/>
          <w:kern w:val="0"/>
          <w:sz w:val="32"/>
          <w:szCs w:val="32"/>
          <w:lang w:eastAsia="zh-CN"/>
        </w:rPr>
        <w:t>洙赵新河</w:t>
      </w:r>
      <w:r>
        <w:rPr>
          <w:rFonts w:hint="eastAsia" w:ascii="仿宋_GB2312" w:hAnsi="仿宋_GB2312" w:eastAsia="仿宋_GB2312" w:cs="仿宋_GB2312"/>
          <w:color w:val="auto"/>
          <w:kern w:val="0"/>
          <w:sz w:val="32"/>
          <w:szCs w:val="32"/>
          <w:lang w:val="en-US" w:eastAsia="zh-CN"/>
        </w:rPr>
        <w:t>湖口节制闸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贺庄拦河闸等</w:t>
      </w:r>
      <w:r>
        <w:rPr>
          <w:rFonts w:hint="eastAsia" w:ascii="仿宋_GB2312" w:hAnsi="仿宋_GB2312" w:eastAsia="仿宋_GB2312" w:cs="仿宋_GB2312"/>
          <w:color w:val="auto"/>
          <w:kern w:val="0"/>
          <w:sz w:val="32"/>
          <w:szCs w:val="32"/>
          <w:lang w:val="en-US" w:eastAsia="zh-CN"/>
        </w:rPr>
        <w:t>25</w:t>
      </w:r>
      <w:r>
        <w:rPr>
          <w:rFonts w:hint="eastAsia" w:ascii="仿宋_GB2312" w:hAnsi="仿宋_GB2312" w:eastAsia="仿宋_GB2312" w:cs="仿宋_GB2312"/>
          <w:color w:val="auto"/>
          <w:kern w:val="0"/>
          <w:sz w:val="32"/>
          <w:szCs w:val="32"/>
        </w:rPr>
        <w:t>座</w:t>
      </w:r>
      <w:r>
        <w:rPr>
          <w:rFonts w:hint="eastAsia" w:ascii="仿宋_GB2312" w:hAnsi="仿宋_GB2312" w:eastAsia="仿宋_GB2312" w:cs="仿宋_GB2312"/>
          <w:color w:val="auto"/>
          <w:kern w:val="0"/>
          <w:sz w:val="32"/>
          <w:szCs w:val="32"/>
          <w:lang w:val="en-US" w:eastAsia="zh-CN"/>
        </w:rPr>
        <w:t>大中型</w:t>
      </w:r>
      <w:r>
        <w:rPr>
          <w:rFonts w:hint="eastAsia" w:ascii="仿宋_GB2312" w:hAnsi="仿宋_GB2312" w:eastAsia="仿宋_GB2312" w:cs="仿宋_GB2312"/>
          <w:color w:val="auto"/>
          <w:kern w:val="0"/>
          <w:sz w:val="32"/>
          <w:szCs w:val="32"/>
        </w:rPr>
        <w:t>病险水闸除险加固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对小型水闸进行安全鉴定并按照规定进行除险加固，</w:t>
      </w:r>
      <w:r>
        <w:rPr>
          <w:rFonts w:hint="eastAsia" w:ascii="仿宋_GB2312" w:hAnsi="仿宋_GB2312" w:eastAsia="仿宋_GB2312" w:cs="仿宋_GB2312"/>
          <w:color w:val="auto"/>
          <w:kern w:val="0"/>
          <w:sz w:val="32"/>
          <w:szCs w:val="32"/>
          <w:lang w:val="en-US" w:eastAsia="zh-CN" w:bidi="ar-SA"/>
        </w:rPr>
        <w:t>消除工程安全隐患，完善管理设施和工程监测设施，确保水库和水闸防洪、兴利等功能正常发挥。</w:t>
      </w:r>
    </w:p>
    <w:p>
      <w:pPr>
        <w:pStyle w:val="33"/>
        <w:pageBreakBefore w:val="0"/>
        <w:tabs>
          <w:tab w:val="left" w:pos="1131"/>
        </w:tabs>
        <w:kinsoku/>
        <w:wordWrap/>
        <w:overflowPunct/>
        <w:topLinePunct w:val="0"/>
        <w:bidi w:val="0"/>
        <w:adjustRightInd w:val="0"/>
        <w:snapToGrid w:val="0"/>
        <w:spacing w:line="360" w:lineRule="auto"/>
        <w:ind w:firstLine="642" w:firstLineChars="200"/>
        <w:textAlignment w:val="auto"/>
        <w:rPr>
          <w:rFonts w:hint="eastAsia" w:ascii="仿宋_GB2312" w:hAnsi="仿宋_GB2312" w:eastAsia="仿宋_GB2312" w:cs="仿宋_GB2312"/>
          <w:b/>
          <w:bCs/>
          <w:color w:val="auto"/>
          <w:kern w:val="0"/>
          <w:sz w:val="32"/>
          <w:szCs w:val="32"/>
          <w:lang w:val="en-US" w:eastAsia="zh-CN" w:bidi="ar-SA"/>
        </w:rPr>
      </w:pPr>
      <w:bookmarkStart w:id="23" w:name="_Toc1259291975"/>
      <w:r>
        <w:rPr>
          <w:rFonts w:hint="eastAsia" w:ascii="仿宋_GB2312" w:hAnsi="仿宋_GB2312" w:eastAsia="仿宋_GB2312" w:cs="仿宋_GB2312"/>
          <w:b/>
          <w:bCs/>
          <w:color w:val="auto"/>
          <w:kern w:val="0"/>
          <w:sz w:val="32"/>
          <w:szCs w:val="32"/>
          <w:lang w:val="en-US" w:eastAsia="zh-CN" w:bidi="ar-SA"/>
        </w:rPr>
        <w:t>4、实施山洪灾害防治</w:t>
      </w:r>
      <w:bookmarkEnd w:id="23"/>
    </w:p>
    <w:p>
      <w:pPr>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加强山洪沟治理，开展山洪灾害调查评价，完善非工程措施，在山洪灾害易发地区建成以监测、通信、预报、预警等非工程措施为主，非工程措施与工程措施相结合的防灾减灾体系，提高山洪灾害防御能力和预警水平，实施泗水县5条、邹城市4条、曲阜市</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条共计</w:t>
      </w:r>
      <w:r>
        <w:rPr>
          <w:rFonts w:hint="eastAsia" w:ascii="仿宋_GB2312" w:hAnsi="仿宋_GB2312" w:eastAsia="仿宋_GB2312" w:cs="仿宋_GB2312"/>
          <w:color w:val="auto"/>
          <w:kern w:val="0"/>
          <w:sz w:val="32"/>
          <w:szCs w:val="32"/>
          <w:lang w:val="en-US" w:eastAsia="zh-CN"/>
        </w:rPr>
        <w:t>14</w:t>
      </w:r>
      <w:r>
        <w:rPr>
          <w:rFonts w:hint="eastAsia" w:ascii="仿宋_GB2312" w:hAnsi="仿宋_GB2312" w:eastAsia="仿宋_GB2312" w:cs="仿宋_GB2312"/>
          <w:color w:val="auto"/>
          <w:kern w:val="0"/>
          <w:sz w:val="32"/>
          <w:szCs w:val="32"/>
        </w:rPr>
        <w:t>条重点山洪沟治理工程，提高山洪灾害防御能力。</w:t>
      </w:r>
    </w:p>
    <w:p>
      <w:pPr>
        <w:pStyle w:val="33"/>
        <w:pageBreakBefore w:val="0"/>
        <w:tabs>
          <w:tab w:val="left" w:pos="1131"/>
        </w:tabs>
        <w:kinsoku/>
        <w:wordWrap/>
        <w:overflowPunct/>
        <w:topLinePunct w:val="0"/>
        <w:bidi w:val="0"/>
        <w:adjustRightInd w:val="0"/>
        <w:snapToGrid w:val="0"/>
        <w:spacing w:line="360" w:lineRule="auto"/>
        <w:ind w:firstLine="642" w:firstLineChars="200"/>
        <w:textAlignment w:val="auto"/>
        <w:rPr>
          <w:rFonts w:hint="eastAsia" w:ascii="仿宋_GB2312" w:hAnsi="仿宋_GB2312" w:eastAsia="仿宋_GB2312" w:cs="仿宋_GB2312"/>
          <w:b/>
          <w:bCs/>
          <w:color w:val="auto"/>
          <w:kern w:val="0"/>
          <w:sz w:val="32"/>
          <w:szCs w:val="32"/>
          <w:lang w:val="en-US" w:eastAsia="zh-CN" w:bidi="ar-SA"/>
        </w:rPr>
      </w:pPr>
      <w:bookmarkStart w:id="24" w:name="_Toc53495371"/>
      <w:r>
        <w:rPr>
          <w:rFonts w:hint="eastAsia" w:ascii="仿宋_GB2312" w:hAnsi="仿宋_GB2312" w:eastAsia="仿宋_GB2312" w:cs="仿宋_GB2312"/>
          <w:b/>
          <w:bCs/>
          <w:color w:val="auto"/>
          <w:kern w:val="0"/>
          <w:sz w:val="32"/>
          <w:szCs w:val="32"/>
          <w:lang w:val="en-US" w:eastAsia="zh-CN" w:bidi="ar-SA"/>
        </w:rPr>
        <w:t>5、实施易涝区综合治理</w:t>
      </w:r>
      <w:bookmarkEnd w:id="24"/>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统筹协调流域防洪与区域排涝，治涝与防洪、灌溉的关系，统筹安排涝区涝水出路，将提高排涝能力与增强调蓄能力相结合，不断完善蓄排得当的排涝体系。实施</w:t>
      </w:r>
      <w:r>
        <w:rPr>
          <w:rFonts w:hint="eastAsia" w:ascii="仿宋_GB2312" w:hAnsi="仿宋_GB2312" w:eastAsia="仿宋_GB2312" w:cs="仿宋_GB2312"/>
          <w:color w:val="auto"/>
          <w:kern w:val="0"/>
          <w:sz w:val="32"/>
          <w:szCs w:val="32"/>
          <w:lang w:val="en-US" w:eastAsia="zh-CN"/>
        </w:rPr>
        <w:t>防洪除涝三年攻坚行动，开展</w:t>
      </w:r>
      <w:r>
        <w:rPr>
          <w:rFonts w:hint="eastAsia" w:ascii="仿宋_GB2312" w:hAnsi="仿宋_GB2312" w:eastAsia="仿宋_GB2312" w:cs="仿宋_GB2312"/>
          <w:color w:val="auto"/>
          <w:kern w:val="0"/>
          <w:sz w:val="32"/>
          <w:szCs w:val="32"/>
        </w:rPr>
        <w:t>金乡、</w:t>
      </w:r>
      <w:r>
        <w:rPr>
          <w:rFonts w:hint="eastAsia" w:ascii="仿宋_GB2312" w:hAnsi="仿宋_GB2312" w:eastAsia="仿宋_GB2312" w:cs="仿宋_GB2312"/>
          <w:color w:val="auto"/>
          <w:kern w:val="0"/>
          <w:sz w:val="32"/>
          <w:szCs w:val="32"/>
          <w:lang w:val="en-US" w:eastAsia="zh-CN"/>
        </w:rPr>
        <w:t>嘉祥、</w:t>
      </w:r>
      <w:r>
        <w:rPr>
          <w:rFonts w:hint="eastAsia" w:ascii="仿宋_GB2312" w:hAnsi="仿宋_GB2312" w:eastAsia="仿宋_GB2312" w:cs="仿宋_GB2312"/>
          <w:color w:val="auto"/>
          <w:kern w:val="0"/>
          <w:sz w:val="32"/>
          <w:szCs w:val="32"/>
        </w:rPr>
        <w:t>鱼台</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汶上</w:t>
      </w:r>
      <w:r>
        <w:rPr>
          <w:rFonts w:hint="eastAsia" w:ascii="仿宋_GB2312" w:hAnsi="仿宋_GB2312" w:eastAsia="仿宋_GB2312" w:cs="仿宋_GB2312"/>
          <w:color w:val="auto"/>
          <w:kern w:val="0"/>
          <w:sz w:val="32"/>
          <w:szCs w:val="32"/>
        </w:rPr>
        <w:t>等重点易涝区治理，新建排水站</w:t>
      </w:r>
      <w:r>
        <w:rPr>
          <w:rFonts w:hint="eastAsia" w:ascii="仿宋_GB2312" w:hAnsi="仿宋_GB2312" w:eastAsia="仿宋_GB2312" w:cs="仿宋_GB2312"/>
          <w:color w:val="auto"/>
          <w:kern w:val="0"/>
          <w:sz w:val="32"/>
          <w:szCs w:val="32"/>
          <w:lang w:val="en-US" w:eastAsia="zh-CN"/>
        </w:rPr>
        <w:t>85</w:t>
      </w:r>
      <w:r>
        <w:rPr>
          <w:rFonts w:hint="eastAsia" w:ascii="仿宋_GB2312" w:hAnsi="仿宋_GB2312" w:eastAsia="仿宋_GB2312" w:cs="仿宋_GB2312"/>
          <w:color w:val="auto"/>
          <w:kern w:val="0"/>
          <w:sz w:val="32"/>
          <w:szCs w:val="32"/>
        </w:rPr>
        <w:t>座，改建重建排水站</w:t>
      </w:r>
      <w:r>
        <w:rPr>
          <w:rFonts w:hint="eastAsia" w:ascii="仿宋_GB2312" w:hAnsi="仿宋_GB2312" w:eastAsia="仿宋_GB2312" w:cs="仿宋_GB2312"/>
          <w:color w:val="auto"/>
          <w:kern w:val="0"/>
          <w:sz w:val="32"/>
          <w:szCs w:val="32"/>
          <w:lang w:val="en-US" w:eastAsia="zh-CN"/>
        </w:rPr>
        <w:t>116</w:t>
      </w:r>
      <w:r>
        <w:rPr>
          <w:rFonts w:hint="eastAsia" w:ascii="仿宋_GB2312" w:hAnsi="仿宋_GB2312" w:eastAsia="仿宋_GB2312" w:cs="仿宋_GB2312"/>
          <w:color w:val="auto"/>
          <w:kern w:val="0"/>
          <w:sz w:val="32"/>
          <w:szCs w:val="32"/>
        </w:rPr>
        <w:t>座，加固排水站</w:t>
      </w:r>
      <w:r>
        <w:rPr>
          <w:rFonts w:hint="eastAsia" w:ascii="仿宋_GB2312" w:hAnsi="仿宋_GB2312" w:eastAsia="仿宋_GB2312" w:cs="仿宋_GB2312"/>
          <w:color w:val="auto"/>
          <w:kern w:val="0"/>
          <w:sz w:val="32"/>
          <w:szCs w:val="32"/>
          <w:lang w:val="en-US" w:eastAsia="zh-CN"/>
        </w:rPr>
        <w:t>204</w:t>
      </w:r>
      <w:r>
        <w:rPr>
          <w:rFonts w:hint="eastAsia" w:ascii="仿宋_GB2312" w:hAnsi="仿宋_GB2312" w:eastAsia="仿宋_GB2312" w:cs="仿宋_GB2312"/>
          <w:color w:val="auto"/>
          <w:kern w:val="0"/>
          <w:sz w:val="32"/>
          <w:szCs w:val="32"/>
        </w:rPr>
        <w:t>座，疏挖排水沟</w:t>
      </w:r>
      <w:r>
        <w:rPr>
          <w:rFonts w:hint="eastAsia" w:ascii="仿宋_GB2312" w:hAnsi="仿宋_GB2312" w:eastAsia="仿宋_GB2312" w:cs="仿宋_GB2312"/>
          <w:color w:val="auto"/>
          <w:kern w:val="0"/>
          <w:sz w:val="32"/>
          <w:szCs w:val="32"/>
          <w:lang w:val="en-US" w:eastAsia="zh-CN"/>
        </w:rPr>
        <w:t>3460.25</w:t>
      </w:r>
      <w:r>
        <w:rPr>
          <w:rFonts w:hint="eastAsia" w:ascii="仿宋_GB2312" w:hAnsi="仿宋_GB2312" w:eastAsia="仿宋_GB2312" w:cs="仿宋_GB2312"/>
          <w:color w:val="auto"/>
          <w:kern w:val="0"/>
          <w:sz w:val="32"/>
          <w:szCs w:val="32"/>
        </w:rPr>
        <w:t>km，</w:t>
      </w:r>
      <w:r>
        <w:rPr>
          <w:rFonts w:hint="eastAsia" w:ascii="仿宋_GB2312" w:hAnsi="仿宋_GB2312" w:eastAsia="仿宋_GB2312" w:cs="仿宋_GB2312"/>
          <w:color w:val="auto"/>
          <w:kern w:val="0"/>
          <w:sz w:val="32"/>
          <w:szCs w:val="32"/>
          <w:lang w:val="en-US" w:eastAsia="zh-CN"/>
        </w:rPr>
        <w:t>提高易涝区排涝能力，</w:t>
      </w:r>
      <w:r>
        <w:rPr>
          <w:rFonts w:hint="eastAsia" w:ascii="仿宋_GB2312" w:hAnsi="仿宋_GB2312" w:eastAsia="仿宋_GB2312" w:cs="仿宋_GB2312"/>
          <w:color w:val="auto"/>
          <w:kern w:val="0"/>
          <w:sz w:val="32"/>
          <w:szCs w:val="32"/>
        </w:rPr>
        <w:t>实现“村庄不进水，作物不受淹”的目标。</w:t>
      </w:r>
    </w:p>
    <w:p>
      <w:pPr>
        <w:pStyle w:val="33"/>
        <w:pageBreakBefore w:val="0"/>
        <w:tabs>
          <w:tab w:val="left" w:pos="1131"/>
        </w:tabs>
        <w:kinsoku/>
        <w:wordWrap/>
        <w:overflowPunct/>
        <w:topLinePunct w:val="0"/>
        <w:bidi w:val="0"/>
        <w:adjustRightInd w:val="0"/>
        <w:snapToGrid w:val="0"/>
        <w:spacing w:line="360" w:lineRule="auto"/>
        <w:ind w:firstLine="642" w:firstLineChars="200"/>
        <w:textAlignment w:val="auto"/>
        <w:rPr>
          <w:rFonts w:hint="eastAsia" w:ascii="仿宋_GB2312" w:hAnsi="仿宋_GB2312" w:eastAsia="仿宋_GB2312" w:cs="仿宋_GB2312"/>
          <w:b/>
          <w:bCs/>
          <w:color w:val="auto"/>
          <w:kern w:val="0"/>
          <w:sz w:val="32"/>
          <w:szCs w:val="32"/>
          <w:lang w:val="en-US" w:eastAsia="zh-CN" w:bidi="ar-SA"/>
        </w:rPr>
      </w:pPr>
      <w:bookmarkStart w:id="25" w:name="_Toc1840229919"/>
      <w:r>
        <w:rPr>
          <w:rFonts w:hint="eastAsia" w:ascii="仿宋_GB2312" w:hAnsi="仿宋_GB2312" w:eastAsia="仿宋_GB2312" w:cs="仿宋_GB2312"/>
          <w:b/>
          <w:bCs/>
          <w:color w:val="auto"/>
          <w:kern w:val="0"/>
          <w:sz w:val="32"/>
          <w:szCs w:val="32"/>
          <w:lang w:val="en-US" w:eastAsia="zh-CN" w:bidi="ar-SA"/>
        </w:rPr>
        <w:t>6、加强城市防洪排涝能力建设</w:t>
      </w:r>
      <w:bookmarkEnd w:id="25"/>
    </w:p>
    <w:p>
      <w:pPr>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加强城市河道系统整治，因势利导改造渠化河道，恢复和保持河湖水系的自然连通，构建城市良性水循环系统，保障城市排水出路。实施济安台扬水站改造、河道治理</w:t>
      </w:r>
      <w:r>
        <w:rPr>
          <w:rFonts w:hint="eastAsia" w:ascii="仿宋_GB2312" w:hAnsi="仿宋_GB2312" w:eastAsia="仿宋_GB2312" w:cs="仿宋_GB2312"/>
          <w:color w:val="auto"/>
          <w:sz w:val="32"/>
          <w:szCs w:val="32"/>
          <w:lang w:val="en-US" w:eastAsia="zh-CN"/>
        </w:rPr>
        <w:t>等工程建设</w:t>
      </w:r>
      <w:r>
        <w:rPr>
          <w:rFonts w:hint="eastAsia" w:ascii="仿宋_GB2312" w:hAnsi="仿宋_GB2312" w:eastAsia="仿宋_GB2312" w:cs="仿宋_GB2312"/>
          <w:color w:val="auto"/>
          <w:sz w:val="32"/>
          <w:szCs w:val="32"/>
        </w:rPr>
        <w:t>，提高城</w:t>
      </w:r>
      <w:r>
        <w:rPr>
          <w:rFonts w:hint="eastAsia" w:ascii="仿宋_GB2312" w:hAnsi="仿宋_GB2312" w:eastAsia="仿宋_GB2312" w:cs="仿宋_GB2312"/>
          <w:color w:val="auto"/>
          <w:sz w:val="32"/>
          <w:szCs w:val="32"/>
          <w:lang w:val="en-US" w:eastAsia="zh-CN"/>
        </w:rPr>
        <w:t>市防洪排涝能力。</w:t>
      </w:r>
    </w:p>
    <w:p>
      <w:pPr>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p>
    <w:tbl>
      <w:tblPr>
        <w:tblStyle w:val="20"/>
        <w:tblpPr w:leftFromText="180" w:rightFromText="180" w:vertAnchor="text" w:horzAnchor="page" w:tblpX="1792" w:tblpY="-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8460" w:type="dxa"/>
            <w:tcBorders>
              <w:top w:val="single" w:color="auto" w:sz="4" w:space="0"/>
              <w:left w:val="single" w:color="auto" w:sz="4" w:space="0"/>
              <w:bottom w:val="single" w:color="auto" w:sz="4" w:space="0"/>
              <w:right w:val="single" w:color="auto" w:sz="4" w:space="0"/>
            </w:tcBorders>
            <w:noWrap w:val="0"/>
            <w:vAlign w:val="top"/>
          </w:tcPr>
          <w:p>
            <w:pPr>
              <w:spacing w:line="520" w:lineRule="exact"/>
              <w:contextualSpacing/>
              <w:jc w:val="center"/>
              <w:rPr>
                <w:rFonts w:ascii="仿宋_GB2312" w:hAnsi="黑体" w:eastAsia="仿宋_GB2312" w:cs="Calibri"/>
                <w:sz w:val="32"/>
                <w:szCs w:val="32"/>
              </w:rPr>
            </w:pPr>
            <w:r>
              <w:rPr>
                <w:rFonts w:hint="eastAsia" w:ascii="仿宋_GB2312" w:hAnsi="仿宋_GB2312" w:eastAsia="仿宋_GB2312" w:cs="仿宋_GB2312"/>
                <w:b/>
                <w:bCs/>
                <w:sz w:val="30"/>
                <w:szCs w:val="30"/>
              </w:rPr>
              <w:t>专栏</w:t>
            </w: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rPr>
              <w:t xml:space="preserve">  </w:t>
            </w:r>
            <w:r>
              <w:rPr>
                <w:rFonts w:hint="eastAsia" w:ascii="仿宋_GB2312" w:hAnsi="仿宋_GB2312" w:eastAsia="仿宋_GB2312" w:cs="仿宋_GB2312"/>
                <w:b/>
                <w:bCs/>
                <w:sz w:val="30"/>
                <w:szCs w:val="30"/>
                <w:lang w:val="en-US" w:eastAsia="zh-CN"/>
              </w:rPr>
              <w:t>防洪排涝工程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4" w:hRule="exact"/>
        </w:trPr>
        <w:tc>
          <w:tcPr>
            <w:tcW w:w="84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81" w:firstLineChars="200"/>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重大防洪工程：</w:t>
            </w:r>
            <w:r>
              <w:rPr>
                <w:rFonts w:hint="eastAsia" w:ascii="仿宋_GB2312" w:hAnsi="仿宋_GB2312" w:eastAsia="仿宋_GB2312" w:cs="仿宋_GB2312"/>
                <w:b w:val="0"/>
                <w:bCs w:val="0"/>
                <w:color w:val="auto"/>
                <w:kern w:val="0"/>
                <w:sz w:val="24"/>
                <w:szCs w:val="24"/>
                <w:lang w:val="en-US" w:eastAsia="zh-CN" w:bidi="ar-SA"/>
              </w:rPr>
              <w:t>实施南四湖湖东堤郗山至韩庄段封闭工程建设；继续实施济宁市湖东滞洪区建设、泗河沂泗滞洪区建设。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81" w:firstLineChars="200"/>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河道防洪工程：</w:t>
            </w:r>
            <w:r>
              <w:rPr>
                <w:rFonts w:hint="eastAsia" w:ascii="仿宋_GB2312" w:hAnsi="仿宋_GB2312" w:eastAsia="仿宋_GB2312" w:cs="仿宋_GB2312"/>
                <w:b w:val="0"/>
                <w:bCs w:val="0"/>
                <w:color w:val="auto"/>
                <w:kern w:val="0"/>
                <w:sz w:val="24"/>
                <w:szCs w:val="24"/>
                <w:lang w:val="en-US" w:eastAsia="zh-CN" w:bidi="ar-SA"/>
              </w:rPr>
              <w:t>3000平方公里以上骨干河道治理：实施东鱼河、梁济运河上段治理；200～3000平方公里中小河道治理：实施济宁市洸府河、新万福河；嘉祥县蔡河上游段、洙水河、赵王河治理；梁山县湖东排水河、琉璃河治理；邹城市小沂河上游段、下游段、白马河治理；微山县薛城大沙河、北沙河、城郭河治理；任城区洙水河治理；汶上县泉河、小汶河、湖东排水河汶上段治理等14条中小河道治理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81" w:firstLineChars="200"/>
              <w:textAlignment w:val="auto"/>
              <w:outlineLvl w:val="9"/>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病险水库水闸除险加固：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80" w:firstLineChars="200"/>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bidi="ar-SA"/>
              </w:rPr>
              <w:t>大中型病险水库除险加固:西苇水库除险加固；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80" w:firstLineChars="200"/>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bidi="ar-SA"/>
              </w:rPr>
              <w:t>小型病险水库除险加固：邹城市葛炉山、韩庄、梨杭、西柳、白山、北葛、崔口、石古墩、寺沟、矬草、黄林、黄土崖、烧峪、黑石片、岳庄、祝沟、七峪、青年、西埠、枣园、战山河、劈石峪、皮沟、羊皮、银河、横梁山、洪山、蒋南庄、前灰、三合村、武庄、曾沟、纪西、马家沟、沈庄、大洪套、东郭、苗山、庙东、白山、长山、东深井、金斗、九山、荆山、潘庄等46座，曲阜市尧乔沟、大烟、黄庄、刘家庄、泉头、梁公林上坝、陈林、东岭前寨、高家村、前后河、西夏庄、峪西、峪东等13座，泗水县青界、陈庄、龙门山、大辛、立山庄、大泉、南纪埠上、侯家庄等8座，共计67座小型病险水库除险加固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80" w:firstLineChars="200"/>
              <w:textAlignment w:val="auto"/>
              <w:outlineLvl w:val="9"/>
              <w:rPr>
                <w:rFonts w:hint="default"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bidi="ar-SA"/>
              </w:rPr>
              <w:t>大中型病险水闸除险加固：星四闸、丑村闸、高峪闸、柘沟闸、泗张闸、贺庄闸、湖口闸、淳集闸、郭楼闸、吕庙闸、王杰闸、郭楼橡胶坝、甄桥闸、高吴桥闸、屯头闸、候店闸、梁庄闸、大厂闸、东垛闸、小厂闸、新庄闸、杨刘桥闸、马西闸、毕桥闸、大屯闸等25座大中型病险水闸除险加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textAlignment w:val="auto"/>
              <w:outlineLvl w:val="9"/>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山洪灾害防治: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80" w:firstLineChars="200"/>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bidi="ar-SA"/>
              </w:rPr>
              <w:t>实施泗水县济河、柘沟河、高峪、三角湾、音义河等5条，邹城市望云河、十八趟河、西戈河（上游段）、大沙河（上游段）等4条，曲阜市衡庙河、烟袋河、夫子洞河、廖河、鲁源河等5条，共计14条重点山洪沟治理工程。</w:t>
            </w:r>
          </w:p>
          <w:p>
            <w:pPr>
              <w:pStyle w:val="2"/>
              <w:keepNext w:val="0"/>
              <w:keepLines w:val="0"/>
              <w:pageBreakBefore w:val="0"/>
              <w:widowControl w:val="0"/>
              <w:kinsoku/>
              <w:wordWrap/>
              <w:overflowPunct/>
              <w:topLinePunct w:val="0"/>
              <w:autoSpaceDE/>
              <w:autoSpaceDN/>
              <w:bidi w:val="0"/>
              <w:spacing w:line="320" w:lineRule="exact"/>
              <w:ind w:left="0" w:leftChars="0" w:firstLine="0" w:firstLineChars="0"/>
              <w:jc w:val="left"/>
              <w:textAlignment w:val="auto"/>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易涝区综合治理:</w:t>
            </w:r>
          </w:p>
          <w:p>
            <w:pPr>
              <w:pStyle w:val="2"/>
              <w:keepNext w:val="0"/>
              <w:keepLines w:val="0"/>
              <w:pageBreakBefore w:val="0"/>
              <w:widowControl w:val="0"/>
              <w:kinsoku/>
              <w:wordWrap/>
              <w:overflowPunct/>
              <w:topLinePunct w:val="0"/>
              <w:autoSpaceDE/>
              <w:autoSpaceDN/>
              <w:bidi w:val="0"/>
              <w:spacing w:line="320" w:lineRule="exact"/>
              <w:ind w:left="0" w:leftChars="0" w:firstLine="480" w:firstLineChars="200"/>
              <w:jc w:val="left"/>
              <w:textAlignment w:val="auto"/>
              <w:rPr>
                <w:rFonts w:hint="eastAsia"/>
                <w:color w:val="auto"/>
                <w:lang w:val="en-US" w:eastAsia="zh-CN"/>
              </w:rPr>
            </w:pPr>
            <w:r>
              <w:rPr>
                <w:rFonts w:hint="eastAsia" w:ascii="仿宋_GB2312" w:hAnsi="仿宋_GB2312" w:eastAsia="仿宋_GB2312" w:cs="仿宋_GB2312"/>
                <w:b w:val="0"/>
                <w:bCs w:val="0"/>
                <w:color w:val="auto"/>
                <w:kern w:val="0"/>
                <w:sz w:val="24"/>
                <w:szCs w:val="24"/>
                <w:lang w:val="en-US" w:eastAsia="zh-CN" w:bidi="ar-SA"/>
              </w:rPr>
              <w:t>实施汶上县重点洼地治理、重点易涝区治理工程</w:t>
            </w:r>
            <w:r>
              <w:rPr>
                <w:rFonts w:hint="eastAsia" w:ascii="仿宋_GB2312" w:hAnsi="仿宋_GB2312" w:eastAsia="仿宋_GB2312" w:cs="仿宋_GB2312"/>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textAlignment w:val="auto"/>
              <w:outlineLvl w:val="9"/>
              <w:rPr>
                <w:rFonts w:hint="default"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城市防洪排涝能力建设：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80" w:firstLineChars="200"/>
              <w:textAlignment w:val="auto"/>
              <w:outlineLvl w:val="9"/>
              <w:rPr>
                <w:rFonts w:hint="eastAsia" w:ascii="仿宋_GB2312" w:hAnsi="仿宋_GB2312" w:eastAsia="仿宋_GB2312" w:cs="仿宋_GB2312"/>
                <w:b w:val="0"/>
                <w:bCs w:val="0"/>
                <w:color w:val="FF0000"/>
                <w:sz w:val="24"/>
                <w:szCs w:val="24"/>
                <w:lang w:val="en-US" w:eastAsia="zh-CN"/>
              </w:rPr>
            </w:pPr>
            <w:r>
              <w:rPr>
                <w:rFonts w:hint="eastAsia" w:ascii="仿宋_GB2312" w:hAnsi="仿宋_GB2312" w:eastAsia="仿宋_GB2312" w:cs="仿宋_GB2312"/>
                <w:b w:val="0"/>
                <w:bCs w:val="0"/>
                <w:color w:val="auto"/>
                <w:kern w:val="0"/>
                <w:sz w:val="24"/>
                <w:szCs w:val="24"/>
                <w:lang w:val="en-US" w:eastAsia="zh-CN" w:bidi="ar-SA"/>
              </w:rPr>
              <w:t>水旱灾害防御：实施济</w:t>
            </w:r>
            <w:r>
              <w:rPr>
                <w:rFonts w:hint="eastAsia" w:ascii="仿宋_GB2312" w:hAnsi="仿宋_GB2312" w:eastAsia="仿宋_GB2312" w:cs="仿宋_GB2312"/>
                <w:b w:val="0"/>
                <w:bCs w:val="0"/>
                <w:color w:val="auto"/>
                <w:sz w:val="24"/>
                <w:szCs w:val="24"/>
                <w:lang w:val="en-US" w:eastAsia="zh-CN"/>
              </w:rPr>
              <w:t>安台扬水站改造、小洸河治理工程。</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textAlignment w:val="auto"/>
              <w:outlineLvl w:val="9"/>
              <w:rPr>
                <w:rFonts w:hint="eastAsia" w:ascii="仿宋_GB2312" w:hAnsi="黑体" w:eastAsia="仿宋_GB2312" w:cs="Calibri"/>
                <w:sz w:val="28"/>
                <w:szCs w:val="28"/>
              </w:rPr>
            </w:pPr>
          </w:p>
        </w:tc>
      </w:tr>
    </w:tbl>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26" w:name="_Toc29776"/>
      <w:r>
        <w:rPr>
          <w:rFonts w:hint="eastAsia" w:ascii="楷体" w:hAnsi="楷体" w:eastAsia="楷体" w:cs="仿宋_GB2312"/>
          <w:color w:val="auto"/>
        </w:rPr>
        <w:t>（二）建立可靠的水资源保障体系</w:t>
      </w:r>
      <w:bookmarkEnd w:id="19"/>
      <w:bookmarkEnd w:id="26"/>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rPr>
        <w:t>按照“</w:t>
      </w:r>
      <w:r>
        <w:rPr>
          <w:rFonts w:hint="eastAsia" w:ascii="仿宋_GB2312" w:hAnsi="仿宋_GB2312" w:eastAsia="仿宋_GB2312" w:cs="仿宋_GB2312"/>
          <w:color w:val="auto"/>
          <w:kern w:val="0"/>
          <w:sz w:val="32"/>
          <w:szCs w:val="32"/>
          <w:lang w:eastAsia="zh-CN"/>
        </w:rPr>
        <w:t>充分</w:t>
      </w:r>
      <w:r>
        <w:rPr>
          <w:rFonts w:hint="eastAsia" w:ascii="仿宋_GB2312" w:hAnsi="仿宋_GB2312" w:eastAsia="仿宋_GB2312" w:cs="仿宋_GB2312"/>
          <w:color w:val="auto"/>
          <w:kern w:val="0"/>
          <w:sz w:val="32"/>
          <w:szCs w:val="32"/>
        </w:rPr>
        <w:t>利用</w:t>
      </w:r>
      <w:r>
        <w:rPr>
          <w:rFonts w:hint="eastAsia" w:ascii="仿宋_GB2312" w:hAnsi="仿宋_GB2312" w:eastAsia="仿宋_GB2312" w:cs="仿宋_GB2312"/>
          <w:color w:val="auto"/>
          <w:kern w:val="0"/>
          <w:sz w:val="32"/>
          <w:szCs w:val="32"/>
          <w:lang w:eastAsia="zh-CN"/>
        </w:rPr>
        <w:t>地表水</w:t>
      </w:r>
      <w:r>
        <w:rPr>
          <w:rFonts w:hint="eastAsia" w:ascii="仿宋_GB2312" w:hAnsi="仿宋_GB2312" w:eastAsia="仿宋_GB2312" w:cs="仿宋_GB2312"/>
          <w:color w:val="auto"/>
          <w:kern w:val="0"/>
          <w:sz w:val="32"/>
          <w:szCs w:val="32"/>
        </w:rPr>
        <w:t>、控制</w:t>
      </w:r>
      <w:r>
        <w:rPr>
          <w:rFonts w:hint="eastAsia" w:ascii="仿宋_GB2312" w:hAnsi="仿宋_GB2312" w:eastAsia="仿宋_GB2312" w:cs="仿宋_GB2312"/>
          <w:color w:val="auto"/>
          <w:kern w:val="0"/>
          <w:sz w:val="32"/>
          <w:szCs w:val="32"/>
          <w:lang w:eastAsia="zh-CN"/>
        </w:rPr>
        <w:t>利用</w:t>
      </w:r>
      <w:r>
        <w:rPr>
          <w:rFonts w:hint="eastAsia" w:ascii="仿宋_GB2312" w:hAnsi="仿宋_GB2312" w:eastAsia="仿宋_GB2312" w:cs="仿宋_GB2312"/>
          <w:color w:val="auto"/>
          <w:kern w:val="0"/>
          <w:sz w:val="32"/>
          <w:szCs w:val="32"/>
        </w:rPr>
        <w:t>地下水、高效利用黄河水、积极引用长江水、鼓励采用非常规水”的水资源开发利用总思路，</w:t>
      </w:r>
      <w:r>
        <w:rPr>
          <w:rFonts w:hint="eastAsia" w:ascii="仿宋_GB2312" w:hAnsi="仿宋_GB2312" w:eastAsia="仿宋_GB2312" w:cs="仿宋_GB2312"/>
          <w:color w:val="auto"/>
          <w:kern w:val="0"/>
          <w:sz w:val="32"/>
          <w:szCs w:val="32"/>
          <w:lang w:val="en-US" w:eastAsia="zh-CN" w:bidi="ar-SA"/>
        </w:rPr>
        <w:t>坚持节水优先，“</w:t>
      </w:r>
      <w:r>
        <w:rPr>
          <w:rFonts w:hint="eastAsia" w:ascii="仿宋_GB2312" w:hAnsi="仿宋_GB2312" w:eastAsia="仿宋_GB2312" w:cs="仿宋_GB2312"/>
          <w:color w:val="auto"/>
          <w:kern w:val="0"/>
          <w:sz w:val="32"/>
          <w:szCs w:val="32"/>
          <w:lang w:eastAsia="zh-CN"/>
        </w:rPr>
        <w:t>严节水、强蓄水、保供水”</w:t>
      </w:r>
      <w:r>
        <w:rPr>
          <w:rFonts w:hint="eastAsia" w:ascii="仿宋_GB2312" w:hAnsi="仿宋_GB2312" w:eastAsia="仿宋_GB2312" w:cs="仿宋_GB2312"/>
          <w:color w:val="auto"/>
          <w:kern w:val="0"/>
          <w:sz w:val="32"/>
          <w:szCs w:val="32"/>
          <w:lang w:val="en-US" w:eastAsia="zh-CN" w:bidi="ar-SA"/>
        </w:rPr>
        <w:t>，推进重点领域节水、</w:t>
      </w:r>
      <w:r>
        <w:rPr>
          <w:rFonts w:hint="eastAsia" w:ascii="仿宋_GB2312" w:hAnsi="仿宋_GB2312" w:eastAsia="仿宋_GB2312" w:cs="仿宋_GB2312"/>
          <w:color w:val="auto"/>
          <w:sz w:val="32"/>
          <w:szCs w:val="32"/>
          <w:lang w:val="en-US" w:eastAsia="zh-CN"/>
        </w:rPr>
        <w:t>充分利用山区地形和积水采煤塌陷地新建山丘区及平原水库、实施大中型水库增容、河道拦蓄工程，拦蓄雨洪资源；实施跨流域调水和中水回用工程建设；开展抗旱水源、城市应急备用水源地、地表水厂建设、农村饮水安全提升和城乡供水一体化工程等措施，</w:t>
      </w:r>
      <w:r>
        <w:rPr>
          <w:rFonts w:hint="eastAsia" w:ascii="仿宋_GB2312" w:hAnsi="仿宋_GB2312" w:eastAsia="仿宋_GB2312" w:cs="仿宋_GB2312"/>
          <w:color w:val="auto"/>
          <w:kern w:val="0"/>
          <w:sz w:val="32"/>
          <w:szCs w:val="32"/>
        </w:rPr>
        <w:t>加强多水源联合调度、水资源战略储备，提升全</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水资源统调联配和公共服务能力，</w:t>
      </w:r>
      <w:r>
        <w:rPr>
          <w:rFonts w:hint="eastAsia" w:ascii="仿宋_GB2312" w:hAnsi="仿宋_GB2312" w:eastAsia="仿宋_GB2312" w:cs="仿宋_GB2312"/>
          <w:color w:val="auto"/>
          <w:sz w:val="32"/>
          <w:szCs w:val="32"/>
        </w:rPr>
        <w:t>构建布局合理、蓄泄兼筹、丰枯调剂、生态良好的</w:t>
      </w:r>
      <w:r>
        <w:rPr>
          <w:rFonts w:hint="eastAsia" w:ascii="仿宋_GB2312" w:hAnsi="仿宋_GB2312" w:eastAsia="仿宋_GB2312" w:cs="仿宋_GB2312"/>
          <w:color w:val="auto"/>
          <w:sz w:val="32"/>
          <w:szCs w:val="32"/>
          <w:lang w:val="en-US" w:eastAsia="zh-CN"/>
        </w:rPr>
        <w:t>水资源</w:t>
      </w:r>
      <w:r>
        <w:rPr>
          <w:rFonts w:hint="eastAsia" w:ascii="仿宋_GB2312" w:hAnsi="仿宋_GB2312" w:eastAsia="仿宋_GB2312" w:cs="仿宋_GB2312"/>
          <w:color w:val="auto"/>
          <w:sz w:val="32"/>
          <w:szCs w:val="32"/>
          <w:lang w:eastAsia="zh-CN"/>
        </w:rPr>
        <w:t>保障体系，</w:t>
      </w:r>
      <w:r>
        <w:rPr>
          <w:rFonts w:hint="eastAsia" w:ascii="仿宋_GB2312" w:hAnsi="仿宋_GB2312" w:eastAsia="仿宋_GB2312" w:cs="仿宋_GB2312"/>
          <w:color w:val="auto"/>
          <w:kern w:val="0"/>
          <w:sz w:val="32"/>
          <w:szCs w:val="32"/>
          <w:lang w:val="en-US" w:eastAsia="zh-CN" w:bidi="ar-SA"/>
        </w:rPr>
        <w:t>提高水资源节约集约利用水平。</w:t>
      </w:r>
    </w:p>
    <w:p>
      <w:pPr>
        <w:pStyle w:val="33"/>
        <w:pageBreakBefore w:val="0"/>
        <w:tabs>
          <w:tab w:val="left" w:pos="1131"/>
        </w:tabs>
        <w:kinsoku/>
        <w:wordWrap/>
        <w:overflowPunct/>
        <w:topLinePunct w:val="0"/>
        <w:bidi w:val="0"/>
        <w:adjustRightInd w:val="0"/>
        <w:snapToGrid w:val="0"/>
        <w:spacing w:line="360" w:lineRule="auto"/>
        <w:ind w:firstLine="642" w:firstLineChars="200"/>
        <w:textAlignment w:val="auto"/>
        <w:rPr>
          <w:rFonts w:hint="eastAsia" w:ascii="仿宋_GB2312" w:hAnsi="仿宋_GB2312" w:eastAsia="仿宋_GB2312" w:cs="仿宋_GB2312"/>
          <w:b/>
          <w:bCs/>
          <w:color w:val="auto"/>
          <w:kern w:val="0"/>
          <w:sz w:val="32"/>
          <w:szCs w:val="32"/>
          <w:lang w:val="en-US" w:eastAsia="zh-CN" w:bidi="ar-SA"/>
        </w:rPr>
      </w:pPr>
      <w:bookmarkStart w:id="27" w:name="_Toc11906690"/>
      <w:r>
        <w:rPr>
          <w:rFonts w:hint="eastAsia" w:ascii="仿宋_GB2312" w:hAnsi="仿宋_GB2312" w:eastAsia="仿宋_GB2312" w:cs="仿宋_GB2312"/>
          <w:b/>
          <w:bCs/>
          <w:color w:val="auto"/>
          <w:kern w:val="0"/>
          <w:sz w:val="32"/>
          <w:szCs w:val="32"/>
          <w:lang w:val="en-US" w:eastAsia="zh-CN" w:bidi="ar-SA"/>
        </w:rPr>
        <w:t>1、实施重点领域节水工程</w:t>
      </w:r>
      <w:bookmarkEnd w:id="27"/>
    </w:p>
    <w:p>
      <w:pPr>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山东省落实国家节水行动实施方案》要求，围绕农业、工业、城镇等重点领域节水和取、供、输、用、排水各环节，强化农业节水增效，推进工业循环利用，加强城镇节水降损，全面提升水资源利用效率和效益。加快实施新建灌区及大中型灌区续建配套与节水改造</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提高灌区输配水能力和运行管理能力，打造现代化节水型生态灌区。实施陈垓、国那里大型引黄灌区续建配套与节水改造，新建嘉祥</w:t>
      </w:r>
      <w:r>
        <w:rPr>
          <w:rFonts w:hint="eastAsia" w:ascii="仿宋_GB2312" w:hAnsi="仿宋_GB2312" w:eastAsia="仿宋_GB2312" w:cs="仿宋_GB2312"/>
          <w:color w:val="auto"/>
          <w:kern w:val="0"/>
          <w:sz w:val="32"/>
          <w:szCs w:val="32"/>
          <w:lang w:val="en-US" w:eastAsia="zh-CN"/>
        </w:rPr>
        <w:t>县</w:t>
      </w:r>
      <w:r>
        <w:rPr>
          <w:rFonts w:hint="eastAsia" w:ascii="仿宋_GB2312" w:hAnsi="仿宋_GB2312" w:eastAsia="仿宋_GB2312" w:cs="仿宋_GB2312"/>
          <w:color w:val="auto"/>
          <w:kern w:val="0"/>
          <w:sz w:val="32"/>
          <w:szCs w:val="32"/>
        </w:rPr>
        <w:t>西北部缺水干旱地区</w:t>
      </w:r>
      <w:r>
        <w:rPr>
          <w:rFonts w:hint="eastAsia" w:ascii="仿宋_GB2312" w:hAnsi="仿宋_GB2312" w:eastAsia="仿宋_GB2312" w:cs="仿宋_GB2312"/>
          <w:color w:val="auto"/>
          <w:kern w:val="0"/>
          <w:sz w:val="32"/>
          <w:szCs w:val="32"/>
          <w:lang w:val="en-US" w:eastAsia="zh-CN"/>
        </w:rPr>
        <w:t>灌区</w:t>
      </w:r>
      <w:r>
        <w:rPr>
          <w:rFonts w:hint="eastAsia" w:ascii="仿宋_GB2312" w:hAnsi="仿宋_GB2312" w:eastAsia="仿宋_GB2312" w:cs="仿宋_GB2312"/>
          <w:color w:val="auto"/>
          <w:kern w:val="0"/>
          <w:sz w:val="32"/>
          <w:szCs w:val="32"/>
        </w:rPr>
        <w:t>、泗水县龙湾湖提水灌区，实施邹城市、曲阜市、泗水县、鱼台县、金乡县中型灌区续建配套与节水改造工程，改善农业生产条件，保障国家粮食安全。曲阜市、邹城市创建国家级节水型城市，</w:t>
      </w:r>
      <w:r>
        <w:rPr>
          <w:rFonts w:hint="eastAsia" w:ascii="仿宋" w:hAnsi="仿宋" w:eastAsia="仿宋" w:cs="仿宋"/>
          <w:b w:val="0"/>
          <w:bCs w:val="0"/>
          <w:color w:val="auto"/>
          <w:kern w:val="2"/>
          <w:sz w:val="32"/>
          <w:szCs w:val="32"/>
          <w:highlight w:val="none"/>
          <w:lang w:val="en-US" w:eastAsia="zh-CN"/>
        </w:rPr>
        <w:t>微山县、鱼台县、汶上县、梁山县完成县域节水型社会达标建设</w:t>
      </w:r>
      <w:r>
        <w:rPr>
          <w:rFonts w:hint="eastAsia" w:ascii="仿宋_GB2312" w:hAnsi="仿宋_GB2312" w:eastAsia="仿宋_GB2312" w:cs="仿宋_GB2312"/>
          <w:color w:val="auto"/>
          <w:kern w:val="0"/>
          <w:sz w:val="32"/>
          <w:szCs w:val="32"/>
        </w:rPr>
        <w:t>。</w:t>
      </w:r>
    </w:p>
    <w:p>
      <w:pPr>
        <w:pStyle w:val="33"/>
        <w:pageBreakBefore w:val="0"/>
        <w:tabs>
          <w:tab w:val="left" w:pos="1131"/>
        </w:tabs>
        <w:kinsoku/>
        <w:wordWrap/>
        <w:overflowPunct/>
        <w:topLinePunct w:val="0"/>
        <w:bidi w:val="0"/>
        <w:adjustRightInd w:val="0"/>
        <w:snapToGrid w:val="0"/>
        <w:spacing w:line="360" w:lineRule="auto"/>
        <w:ind w:firstLine="642" w:firstLineChars="200"/>
        <w:textAlignment w:val="auto"/>
        <w:rPr>
          <w:rFonts w:hint="eastAsia" w:ascii="仿宋_GB2312" w:hAnsi="仿宋_GB2312" w:eastAsia="仿宋_GB2312" w:cs="仿宋_GB2312"/>
          <w:b/>
          <w:bCs/>
          <w:color w:val="auto"/>
          <w:kern w:val="0"/>
          <w:sz w:val="32"/>
          <w:szCs w:val="32"/>
          <w:lang w:val="en-US" w:eastAsia="zh-CN" w:bidi="ar-SA"/>
        </w:rPr>
      </w:pPr>
      <w:bookmarkStart w:id="28" w:name="_Toc955104465"/>
      <w:r>
        <w:rPr>
          <w:rFonts w:hint="eastAsia" w:ascii="仿宋_GB2312" w:hAnsi="仿宋_GB2312" w:eastAsia="仿宋_GB2312" w:cs="仿宋_GB2312"/>
          <w:b/>
          <w:bCs/>
          <w:color w:val="auto"/>
          <w:kern w:val="0"/>
          <w:sz w:val="32"/>
          <w:szCs w:val="32"/>
          <w:lang w:val="en-US" w:eastAsia="zh-CN" w:bidi="ar-SA"/>
        </w:rPr>
        <w:t>2、加强蓄水工程建设</w:t>
      </w:r>
      <w:bookmarkEnd w:id="28"/>
    </w:p>
    <w:p>
      <w:pPr>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实施十二明珠水系连通工程，利用</w:t>
      </w:r>
      <w:r>
        <w:rPr>
          <w:rFonts w:hint="eastAsia" w:ascii="仿宋_GB2312" w:hAnsi="仿宋_GB2312" w:eastAsia="仿宋_GB2312" w:cs="仿宋_GB2312"/>
          <w:color w:val="auto"/>
          <w:kern w:val="0"/>
          <w:sz w:val="32"/>
          <w:szCs w:val="32"/>
          <w:lang w:eastAsia="zh-CN"/>
        </w:rPr>
        <w:t>积水采煤塌陷地</w:t>
      </w:r>
      <w:r>
        <w:rPr>
          <w:rFonts w:hint="eastAsia" w:ascii="仿宋_GB2312" w:hAnsi="仿宋_GB2312" w:eastAsia="仿宋_GB2312" w:cs="仿宋_GB2312"/>
          <w:color w:val="auto"/>
          <w:kern w:val="0"/>
          <w:sz w:val="32"/>
          <w:szCs w:val="32"/>
        </w:rPr>
        <w:t>生态修复工程建设中水水库和生态湿地，集蓄雨洪水、矿井疏干排水、中水等，规划实施如意湖、微山中水水库扩容等工程。规划建设</w:t>
      </w:r>
      <w:r>
        <w:rPr>
          <w:rFonts w:hint="eastAsia" w:ascii="仿宋_GB2312" w:hAnsi="仿宋_GB2312" w:eastAsia="仿宋_GB2312" w:cs="仿宋_GB2312"/>
          <w:color w:val="auto"/>
          <w:kern w:val="0"/>
          <w:sz w:val="32"/>
          <w:szCs w:val="32"/>
          <w:lang w:val="en-US" w:eastAsia="zh-CN"/>
        </w:rPr>
        <w:t>曲阜市陵城平原水库</w:t>
      </w:r>
      <w:r>
        <w:rPr>
          <w:rFonts w:hint="eastAsia" w:ascii="仿宋_GB2312" w:hAnsi="仿宋_GB2312" w:eastAsia="仿宋_GB2312" w:cs="仿宋_GB2312"/>
          <w:color w:val="auto"/>
          <w:kern w:val="0"/>
          <w:sz w:val="32"/>
          <w:szCs w:val="32"/>
        </w:rPr>
        <w:t>、金乡县羊山水库等</w:t>
      </w:r>
      <w:r>
        <w:rPr>
          <w:rFonts w:hint="eastAsia" w:ascii="仿宋_GB2312" w:hAnsi="仿宋_GB2312" w:eastAsia="仿宋_GB2312" w:cs="仿宋_GB2312"/>
          <w:color w:val="auto"/>
          <w:kern w:val="0"/>
          <w:sz w:val="32"/>
          <w:szCs w:val="32"/>
          <w:lang w:val="en-US" w:eastAsia="zh-CN"/>
        </w:rPr>
        <w:t>7座</w:t>
      </w:r>
      <w:r>
        <w:rPr>
          <w:rFonts w:hint="eastAsia" w:ascii="仿宋_GB2312" w:hAnsi="仿宋_GB2312" w:eastAsia="仿宋_GB2312" w:cs="仿宋_GB2312"/>
          <w:color w:val="auto"/>
          <w:kern w:val="0"/>
          <w:sz w:val="32"/>
          <w:szCs w:val="32"/>
        </w:rPr>
        <w:t>平原水库，实施尼山水库等</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座水库增容，新建济河等1</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座河道拦蓄工程；实施泗水县尧山南水库、腾家洼小型水库、梁山县抗旱提升工程、嘉祥县防汛抗旱水利提升工程、金乡县</w:t>
      </w:r>
      <w:r>
        <w:rPr>
          <w:rFonts w:hint="eastAsia" w:ascii="仿宋_GB2312" w:hAnsi="仿宋_GB2312" w:eastAsia="仿宋_GB2312" w:cs="仿宋_GB2312"/>
          <w:color w:val="auto"/>
          <w:kern w:val="0"/>
          <w:sz w:val="32"/>
          <w:szCs w:val="32"/>
          <w:lang w:val="en-US" w:eastAsia="zh-CN"/>
        </w:rPr>
        <w:t>湖西灌区灌溉</w:t>
      </w:r>
      <w:r>
        <w:rPr>
          <w:rFonts w:hint="eastAsia" w:ascii="仿宋_GB2312" w:hAnsi="仿宋_GB2312" w:eastAsia="仿宋_GB2312" w:cs="仿宋_GB2312"/>
          <w:color w:val="auto"/>
          <w:kern w:val="0"/>
          <w:sz w:val="32"/>
          <w:szCs w:val="32"/>
        </w:rPr>
        <w:t>提升工程</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项抗旱水源工程</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提升供水保障能力</w:t>
      </w:r>
      <w:r>
        <w:rPr>
          <w:rFonts w:hint="eastAsia" w:ascii="仿宋_GB2312" w:hAnsi="仿宋_GB2312" w:eastAsia="仿宋_GB2312" w:cs="仿宋_GB2312"/>
          <w:color w:val="auto"/>
          <w:kern w:val="0"/>
          <w:sz w:val="32"/>
          <w:szCs w:val="32"/>
        </w:rPr>
        <w:t>。</w:t>
      </w:r>
    </w:p>
    <w:p>
      <w:pPr>
        <w:pStyle w:val="33"/>
        <w:pageBreakBefore w:val="0"/>
        <w:tabs>
          <w:tab w:val="left" w:pos="1131"/>
        </w:tabs>
        <w:kinsoku/>
        <w:wordWrap/>
        <w:overflowPunct/>
        <w:topLinePunct w:val="0"/>
        <w:bidi w:val="0"/>
        <w:adjustRightInd w:val="0"/>
        <w:snapToGrid w:val="0"/>
        <w:spacing w:line="360" w:lineRule="auto"/>
        <w:ind w:firstLine="642" w:firstLineChars="200"/>
        <w:textAlignment w:val="auto"/>
        <w:rPr>
          <w:rFonts w:hint="eastAsia" w:ascii="仿宋_GB2312" w:hAnsi="仿宋_GB2312" w:eastAsia="仿宋_GB2312" w:cs="仿宋_GB2312"/>
          <w:b/>
          <w:bCs/>
          <w:color w:val="auto"/>
          <w:kern w:val="0"/>
          <w:sz w:val="32"/>
          <w:szCs w:val="32"/>
          <w:lang w:val="en-US" w:eastAsia="zh-CN" w:bidi="ar-SA"/>
        </w:rPr>
      </w:pPr>
      <w:bookmarkStart w:id="29" w:name="_Toc1421426606"/>
      <w:r>
        <w:rPr>
          <w:rFonts w:hint="eastAsia" w:ascii="仿宋_GB2312" w:hAnsi="仿宋_GB2312" w:eastAsia="仿宋_GB2312" w:cs="仿宋_GB2312"/>
          <w:b/>
          <w:bCs/>
          <w:color w:val="auto"/>
          <w:kern w:val="0"/>
          <w:sz w:val="32"/>
          <w:szCs w:val="32"/>
          <w:lang w:val="en-US" w:eastAsia="zh-CN" w:bidi="ar-SA"/>
        </w:rPr>
        <w:t>3、实施引调水工程建设</w:t>
      </w:r>
      <w:bookmarkEnd w:id="29"/>
    </w:p>
    <w:p>
      <w:pPr>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按照国家部署实施南水北调</w:t>
      </w:r>
      <w:r>
        <w:rPr>
          <w:rFonts w:hint="eastAsia" w:ascii="仿宋_GB2312" w:hAnsi="仿宋_GB2312" w:eastAsia="仿宋_GB2312" w:cs="仿宋_GB2312"/>
          <w:color w:val="auto"/>
          <w:kern w:val="0"/>
          <w:sz w:val="32"/>
          <w:szCs w:val="32"/>
          <w:lang w:val="en-US" w:eastAsia="zh-CN"/>
        </w:rPr>
        <w:t>后续工程</w:t>
      </w:r>
      <w:r>
        <w:rPr>
          <w:rFonts w:hint="eastAsia" w:ascii="仿宋_GB2312" w:hAnsi="仿宋_GB2312" w:eastAsia="仿宋_GB2312" w:cs="仿宋_GB2312"/>
          <w:color w:val="auto"/>
          <w:kern w:val="0"/>
          <w:sz w:val="32"/>
          <w:szCs w:val="32"/>
        </w:rPr>
        <w:t>省内干支线及市县配套工程建设，充分利用我市引黄、引湖指标，实施引黄西线、引湖济西、湖水东调等</w:t>
      </w:r>
      <w:r>
        <w:rPr>
          <w:rFonts w:hint="eastAsia" w:ascii="仿宋_GB2312" w:hAnsi="仿宋_GB2312" w:eastAsia="仿宋_GB2312" w:cs="仿宋_GB2312"/>
          <w:color w:val="auto"/>
          <w:kern w:val="0"/>
          <w:sz w:val="32"/>
          <w:szCs w:val="32"/>
          <w:lang w:val="en-US" w:eastAsia="zh-CN"/>
        </w:rPr>
        <w:t>引调水</w:t>
      </w:r>
      <w:r>
        <w:rPr>
          <w:rFonts w:hint="eastAsia" w:ascii="仿宋_GB2312" w:hAnsi="仿宋_GB2312" w:eastAsia="仿宋_GB2312" w:cs="仿宋_GB2312"/>
          <w:color w:val="auto"/>
          <w:kern w:val="0"/>
          <w:sz w:val="32"/>
          <w:szCs w:val="32"/>
        </w:rPr>
        <w:t>工程，</w:t>
      </w:r>
      <w:r>
        <w:rPr>
          <w:rFonts w:hint="eastAsia" w:ascii="仿宋_GB2312" w:hAnsi="仿宋_GB2312" w:eastAsia="仿宋_GB2312" w:cs="仿宋_GB2312"/>
          <w:color w:val="auto"/>
          <w:sz w:val="32"/>
          <w:szCs w:val="32"/>
        </w:rPr>
        <w:t>充分利用客水资源，优化全市水资源配置结构</w:t>
      </w:r>
      <w:r>
        <w:rPr>
          <w:rFonts w:hint="eastAsia" w:ascii="仿宋_GB2312" w:hAnsi="仿宋_GB2312" w:eastAsia="仿宋_GB2312" w:cs="仿宋_GB2312"/>
          <w:color w:val="auto"/>
          <w:kern w:val="0"/>
          <w:sz w:val="32"/>
          <w:szCs w:val="32"/>
        </w:rPr>
        <w:t>。</w:t>
      </w:r>
    </w:p>
    <w:p>
      <w:pPr>
        <w:pageBreakBefore w:val="0"/>
        <w:kinsoku/>
        <w:wordWrap/>
        <w:overflowPunct/>
        <w:topLinePunct w:val="0"/>
        <w:bidi w:val="0"/>
        <w:adjustRightInd w:val="0"/>
        <w:snapToGrid w:val="0"/>
        <w:spacing w:line="360" w:lineRule="auto"/>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SA"/>
        </w:rPr>
        <w:t>4、实施城乡供水一体化巩固提升工程</w:t>
      </w:r>
    </w:p>
    <w:p>
      <w:pPr>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坚持“农村供水城市化，城乡供水一体化”和“规模化发展、标准化建设、规范化管理、市场化运行、企业化经营、用水户参与”建设思路，以水源置换、新建水厂、管网延伸、村内管网改造、水质处理</w:t>
      </w:r>
      <w:r>
        <w:rPr>
          <w:rFonts w:hint="eastAsia" w:ascii="仿宋_GB2312" w:hAnsi="仿宋_GB2312" w:eastAsia="仿宋_GB2312" w:cs="仿宋_GB2312"/>
          <w:color w:val="auto"/>
          <w:kern w:val="0"/>
          <w:sz w:val="32"/>
          <w:szCs w:val="32"/>
          <w:lang w:val="en-US" w:eastAsia="zh-CN"/>
        </w:rPr>
        <w:t>和提升管理能力</w:t>
      </w:r>
      <w:r>
        <w:rPr>
          <w:rFonts w:hint="eastAsia" w:ascii="仿宋_GB2312" w:hAnsi="仿宋_GB2312" w:eastAsia="仿宋_GB2312" w:cs="仿宋_GB2312"/>
          <w:color w:val="auto"/>
          <w:kern w:val="0"/>
          <w:sz w:val="32"/>
          <w:szCs w:val="32"/>
        </w:rPr>
        <w:t>为重点，实施汶上县农村饮水安全提升和济宁市城乡供水一体化建设，提升城乡供水工程规模化水厂覆盖率、水质达标率</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水费征缴率</w:t>
      </w:r>
      <w:r>
        <w:rPr>
          <w:rFonts w:hint="eastAsia" w:ascii="仿宋_GB2312" w:hAnsi="仿宋_GB2312" w:eastAsia="仿宋_GB2312" w:cs="仿宋_GB2312"/>
          <w:color w:val="auto"/>
          <w:kern w:val="0"/>
          <w:sz w:val="32"/>
          <w:szCs w:val="32"/>
        </w:rPr>
        <w:t>；加快推进长江水厂、运河水厂建设，加大地表水供应量，优化全市供水结构。</w:t>
      </w:r>
    </w:p>
    <w:p>
      <w:pPr>
        <w:pStyle w:val="2"/>
        <w:rPr>
          <w:rFonts w:hint="eastAsia" w:ascii="仿宋_GB2312" w:hAnsi="仿宋_GB2312" w:eastAsia="仿宋_GB2312" w:cs="仿宋_GB2312"/>
          <w:color w:val="auto"/>
          <w:kern w:val="0"/>
          <w:sz w:val="32"/>
          <w:szCs w:val="32"/>
        </w:rPr>
      </w:pPr>
    </w:p>
    <w:tbl>
      <w:tblPr>
        <w:tblStyle w:val="20"/>
        <w:tblpPr w:leftFromText="180" w:rightFromText="180" w:vertAnchor="text" w:horzAnchor="page" w:tblpX="1792" w:tblpY="-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spacing w:line="520" w:lineRule="exact"/>
              <w:contextualSpacing/>
              <w:jc w:val="center"/>
              <w:rPr>
                <w:rFonts w:hint="default" w:ascii="仿宋_GB2312" w:hAnsi="黑体" w:eastAsia="仿宋_GB2312" w:cs="Calibri"/>
                <w:sz w:val="32"/>
                <w:szCs w:val="32"/>
                <w:lang w:val="en-US"/>
              </w:rPr>
            </w:pPr>
            <w:r>
              <w:rPr>
                <w:rFonts w:hint="eastAsia" w:ascii="仿宋_GB2312" w:hAnsi="仿宋_GB2312" w:eastAsia="仿宋_GB2312" w:cs="仿宋_GB2312"/>
                <w:b/>
                <w:bCs/>
                <w:sz w:val="30"/>
                <w:szCs w:val="30"/>
              </w:rPr>
              <w:t>专栏</w:t>
            </w: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sz w:val="30"/>
                <w:szCs w:val="30"/>
              </w:rPr>
              <w:t xml:space="preserve">  </w:t>
            </w:r>
            <w:r>
              <w:rPr>
                <w:rFonts w:hint="eastAsia" w:ascii="仿宋_GB2312" w:hAnsi="仿宋_GB2312" w:eastAsia="仿宋_GB2312" w:cs="仿宋_GB2312"/>
                <w:b/>
                <w:bCs/>
                <w:sz w:val="30"/>
                <w:szCs w:val="30"/>
                <w:lang w:val="en-US" w:eastAsia="zh-CN"/>
              </w:rPr>
              <w:t>水资源保障体系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5"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节水工程：</w:t>
            </w:r>
            <w:r>
              <w:rPr>
                <w:rFonts w:hint="eastAsia" w:ascii="仿宋_GB2312" w:hAnsi="仿宋_GB2312" w:eastAsia="仿宋_GB2312" w:cs="仿宋_GB2312"/>
                <w:sz w:val="24"/>
                <w:szCs w:val="24"/>
                <w:lang w:val="en-US" w:eastAsia="zh-CN"/>
              </w:rPr>
              <w:t>新建嘉祥西北部缺水干旱地区灌区、泗水龙湾湖灌区、汶上县琵琶山灌区；实施梁山陈垓大型灌区和邹城、曲阜、泗水、金乡、梁山中型灌区续建配套与节水改造；实施嘉祥现代农业“水肥一体化”智慧节水灌溉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蓄水工程：</w:t>
            </w:r>
            <w:r>
              <w:rPr>
                <w:rFonts w:hint="eastAsia" w:ascii="仿宋_GB2312" w:hAnsi="仿宋_GB2312" w:eastAsia="仿宋_GB2312" w:cs="仿宋_GB2312"/>
                <w:sz w:val="24"/>
                <w:szCs w:val="24"/>
                <w:lang w:val="en-US" w:eastAsia="zh-CN"/>
              </w:rPr>
              <w:t>在汶上县、嘉祥县、曲阜市、金乡县、邹城、高新区建设平原水库7座；实施尼山水库、华村、尹城水库增容；实施邹城小型水库增容；新建微山县中水水库、金乡县中水回用工程、汶上县再生水资源循环利用工程；新建改建泗河泗水段、小汶河、济河、泉河南支等13条河道拦蓄工程；实施金乡县、鱼台县、济宁市地下水超采区综合治理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sz w:val="24"/>
                <w:szCs w:val="24"/>
                <w:lang w:val="en-US" w:eastAsia="zh-CN"/>
              </w:rPr>
              <w:t>引调水工程：</w:t>
            </w:r>
            <w:r>
              <w:rPr>
                <w:rFonts w:hint="eastAsia" w:ascii="仿宋_GB2312" w:hAnsi="仿宋_GB2312" w:eastAsia="仿宋_GB2312" w:cs="仿宋_GB2312"/>
                <w:sz w:val="24"/>
                <w:szCs w:val="24"/>
                <w:lang w:val="en-US" w:eastAsia="zh-CN"/>
              </w:rPr>
              <w:t>实施引黄西线、引湖济西、湖水东调工程和邹城东</w:t>
            </w:r>
            <w:r>
              <w:rPr>
                <w:rFonts w:hint="eastAsia" w:ascii="仿宋_GB2312" w:hAnsi="仿宋_GB2312" w:eastAsia="仿宋_GB2312" w:cs="仿宋_GB2312"/>
                <w:color w:val="auto"/>
                <w:sz w:val="24"/>
                <w:szCs w:val="24"/>
                <w:lang w:val="en-US" w:eastAsia="zh-CN"/>
              </w:rPr>
              <w:t>水西调</w:t>
            </w:r>
            <w:r>
              <w:rPr>
                <w:rFonts w:hint="eastAsia" w:ascii="仿宋_GB2312" w:hAnsi="仿宋_GB2312" w:eastAsia="仿宋_GB2312" w:cs="仿宋_GB2312"/>
                <w:b w:val="0"/>
                <w:bCs w:val="0"/>
                <w:color w:val="auto"/>
                <w:kern w:val="0"/>
                <w:sz w:val="24"/>
                <w:szCs w:val="24"/>
                <w:lang w:val="en-US" w:eastAsia="zh-CN" w:bidi="ar-SA"/>
              </w:rPr>
              <w:t>、汶上县小汶河引水闸</w:t>
            </w:r>
            <w:r>
              <w:rPr>
                <w:rFonts w:hint="eastAsia" w:ascii="仿宋_GB2312" w:hAnsi="仿宋_GB2312" w:eastAsia="仿宋_GB2312" w:cs="仿宋_GB2312"/>
                <w:color w:val="auto"/>
                <w:sz w:val="24"/>
                <w:szCs w:val="24"/>
                <w:lang w:val="en-US" w:eastAsia="zh-CN"/>
              </w:rPr>
              <w:t>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textAlignment w:val="auto"/>
              <w:outlineLvl w:val="9"/>
              <w:rPr>
                <w:rFonts w:hint="default"/>
                <w:lang w:val="en-US" w:eastAsia="zh-CN"/>
              </w:rPr>
            </w:pPr>
            <w:r>
              <w:rPr>
                <w:rFonts w:hint="eastAsia" w:ascii="仿宋_GB2312" w:hAnsi="仿宋_GB2312" w:eastAsia="仿宋_GB2312" w:cs="仿宋_GB2312"/>
                <w:b/>
                <w:bCs/>
                <w:color w:val="auto"/>
                <w:sz w:val="24"/>
                <w:szCs w:val="24"/>
                <w:lang w:val="en-US" w:eastAsia="zh-CN"/>
              </w:rPr>
              <w:t>城乡供水一体化巩固提升工程：</w:t>
            </w:r>
            <w:r>
              <w:rPr>
                <w:rFonts w:hint="eastAsia" w:ascii="仿宋_GB2312" w:hAnsi="仿宋_GB2312" w:eastAsia="仿宋_GB2312" w:cs="仿宋_GB2312"/>
                <w:color w:val="auto"/>
                <w:sz w:val="24"/>
                <w:szCs w:val="24"/>
                <w:lang w:val="en-US" w:eastAsia="zh-CN"/>
              </w:rPr>
              <w:t>实施汶上县农村饮水安全提升；新建兖州、金乡</w:t>
            </w:r>
            <w:r>
              <w:rPr>
                <w:rFonts w:hint="eastAsia" w:ascii="仿宋_GB2312" w:hAnsi="仿宋_GB2312" w:eastAsia="仿宋_GB2312" w:cs="仿宋_GB2312"/>
                <w:sz w:val="24"/>
                <w:szCs w:val="24"/>
                <w:lang w:val="en-US" w:eastAsia="zh-CN"/>
              </w:rPr>
              <w:t>、鱼台、嘉祥、微山供水一体化巩固提升工程，新建任城、嘉祥两处地表水厂；新建尧山南水库、滕家洼水库、梁山县抗旱提升、嘉祥县防汛抗旱水利提升、金乡县湖西灌区灌溉提升工程；实施微山县城市供水应急备用水源工程。</w:t>
            </w:r>
          </w:p>
          <w:p>
            <w:pPr>
              <w:pStyle w:val="2"/>
              <w:rPr>
                <w:rFonts w:hint="eastAsia" w:ascii="仿宋_GB2312" w:hAnsi="仿宋_GB2312" w:eastAsia="仿宋_GB2312" w:cs="仿宋_GB2312"/>
                <w:b w:val="0"/>
                <w:bCs w:val="0"/>
                <w:color w:val="auto"/>
                <w:kern w:val="0"/>
                <w:sz w:val="24"/>
                <w:szCs w:val="24"/>
                <w:lang w:val="en-US" w:eastAsia="zh-CN"/>
              </w:rPr>
            </w:pPr>
          </w:p>
        </w:tc>
      </w:tr>
    </w:tbl>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30" w:name="_Toc24338"/>
      <w:bookmarkStart w:id="31" w:name="_Toc3857"/>
      <w:r>
        <w:rPr>
          <w:rFonts w:hint="eastAsia" w:ascii="楷体" w:hAnsi="楷体" w:eastAsia="楷体" w:cs="仿宋_GB2312"/>
          <w:color w:val="auto"/>
        </w:rPr>
        <w:t>（三）构建健康的水生态体系</w:t>
      </w:r>
      <w:bookmarkEnd w:id="30"/>
      <w:bookmarkEnd w:id="31"/>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pacing w:val="6"/>
          <w:kern w:val="0"/>
          <w:sz w:val="32"/>
          <w:szCs w:val="32"/>
          <w:lang w:val="en-US" w:eastAsia="zh-CN" w:bidi="ar-SA"/>
        </w:rPr>
      </w:pPr>
      <w:r>
        <w:rPr>
          <w:rFonts w:hint="eastAsia" w:ascii="仿宋_GB2312" w:hAnsi="仿宋_GB2312" w:eastAsia="仿宋_GB2312" w:cs="仿宋_GB2312"/>
          <w:color w:val="auto"/>
          <w:kern w:val="0"/>
          <w:sz w:val="32"/>
          <w:szCs w:val="32"/>
        </w:rPr>
        <w:t>牢固树立和践行绿水青山就是金山银山的理念，统筹山水林田湖草系统治理，加强水资源保护、水污染治理、水生态修复，</w:t>
      </w:r>
      <w:r>
        <w:rPr>
          <w:rFonts w:hint="eastAsia" w:ascii="仿宋_GB2312" w:hAnsi="仿宋_GB2312" w:eastAsia="仿宋_GB2312" w:cs="仿宋_GB2312"/>
          <w:color w:val="auto"/>
          <w:kern w:val="0"/>
          <w:sz w:val="32"/>
          <w:szCs w:val="32"/>
          <w:lang w:eastAsia="zh-CN"/>
        </w:rPr>
        <w:t>实施城乡污水治理、尼山世界文明论坛水系修复治理等河湖生态保护与修复、</w:t>
      </w:r>
      <w:r>
        <w:rPr>
          <w:rFonts w:hint="eastAsia" w:ascii="仿宋_GB2312" w:hAnsi="仿宋_GB2312" w:eastAsia="仿宋_GB2312" w:cs="仿宋_GB2312"/>
          <w:color w:val="auto"/>
          <w:kern w:val="0"/>
          <w:sz w:val="32"/>
          <w:szCs w:val="32"/>
        </w:rPr>
        <w:t>水土流失综合治理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地下水超采区治理</w:t>
      </w:r>
      <w:r>
        <w:rPr>
          <w:rFonts w:hint="eastAsia" w:ascii="仿宋_GB2312" w:hAnsi="仿宋_GB2312" w:eastAsia="仿宋_GB2312" w:cs="仿宋_GB2312"/>
          <w:color w:val="auto"/>
          <w:kern w:val="0"/>
          <w:sz w:val="32"/>
          <w:szCs w:val="32"/>
          <w:lang w:eastAsia="zh-CN"/>
        </w:rPr>
        <w:t>、农村水系综合整治</w:t>
      </w:r>
      <w:r>
        <w:rPr>
          <w:rFonts w:hint="eastAsia" w:ascii="仿宋_GB2312" w:hAnsi="仿宋_GB2312" w:eastAsia="仿宋_GB2312" w:cs="仿宋_GB2312"/>
          <w:color w:val="auto"/>
          <w:spacing w:val="6"/>
          <w:kern w:val="0"/>
          <w:sz w:val="32"/>
          <w:szCs w:val="32"/>
          <w:lang w:val="en-US" w:eastAsia="zh-CN" w:bidi="ar-SA"/>
        </w:rPr>
        <w:t>、大中型水库移民后期扶持工程，提升水生态环境质量。</w:t>
      </w:r>
      <w:bookmarkStart w:id="32" w:name="_Toc26515"/>
    </w:p>
    <w:p>
      <w:pPr>
        <w:pageBreakBefore w:val="0"/>
        <w:numPr>
          <w:ilvl w:val="0"/>
          <w:numId w:val="2"/>
        </w:numPr>
        <w:kinsoku/>
        <w:wordWrap/>
        <w:overflowPunct/>
        <w:topLinePunct w:val="0"/>
        <w:bidi w:val="0"/>
        <w:adjustRightInd w:val="0"/>
        <w:snapToGrid w:val="0"/>
        <w:spacing w:line="360" w:lineRule="auto"/>
        <w:ind w:firstLine="642" w:firstLineChars="20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加强城乡污水治理</w:t>
      </w:r>
    </w:p>
    <w:p>
      <w:pPr>
        <w:pageBreakBefore w:val="0"/>
        <w:kinsoku/>
        <w:wordWrap/>
        <w:overflowPunct/>
        <w:topLinePunct w:val="0"/>
        <w:bidi w:val="0"/>
        <w:adjustRightInd w:val="0"/>
        <w:snapToGrid w:val="0"/>
        <w:spacing w:line="360" w:lineRule="auto"/>
        <w:ind w:firstLine="640" w:firstLineChars="200"/>
        <w:textAlignment w:val="auto"/>
        <w:rPr>
          <w:rFonts w:hint="default" w:ascii="仿宋_GB2312" w:hAnsi="仿宋_GB2312" w:eastAsia="仿宋_GB2312" w:cs="仿宋_GB2312"/>
          <w:color w:val="auto"/>
          <w:spacing w:val="6"/>
          <w:kern w:val="0"/>
          <w:sz w:val="32"/>
          <w:szCs w:val="32"/>
          <w:lang w:val="en-US" w:eastAsia="zh-CN"/>
        </w:rPr>
      </w:pPr>
      <w:r>
        <w:rPr>
          <w:rFonts w:hint="eastAsia" w:ascii="仿宋_GB2312" w:hAnsi="仿宋_GB2312" w:eastAsia="仿宋_GB2312" w:cs="仿宋_GB2312"/>
          <w:color w:val="auto"/>
          <w:kern w:val="0"/>
          <w:sz w:val="32"/>
          <w:szCs w:val="32"/>
        </w:rPr>
        <w:t>加强城乡污水处理设施建设</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pacing w:val="6"/>
          <w:kern w:val="0"/>
          <w:sz w:val="32"/>
          <w:szCs w:val="32"/>
        </w:rPr>
        <w:t>实施任城新区污水处理厂二期、兖州区颜店新城污水处理厂、鱼台县西城区污水处理及配套工程、汶上县</w:t>
      </w:r>
      <w:r>
        <w:rPr>
          <w:rFonts w:hint="eastAsia" w:ascii="仿宋_GB2312" w:hAnsi="仿宋_GB2312" w:eastAsia="仿宋_GB2312" w:cs="仿宋_GB2312"/>
          <w:color w:val="auto"/>
          <w:spacing w:val="6"/>
          <w:kern w:val="0"/>
          <w:sz w:val="32"/>
          <w:szCs w:val="32"/>
          <w:lang w:val="en-US" w:eastAsia="zh-CN"/>
        </w:rPr>
        <w:t>泉河</w:t>
      </w:r>
      <w:r>
        <w:rPr>
          <w:rFonts w:hint="eastAsia" w:ascii="仿宋_GB2312" w:hAnsi="仿宋_GB2312" w:eastAsia="仿宋_GB2312" w:cs="仿宋_GB2312"/>
          <w:color w:val="auto"/>
          <w:spacing w:val="6"/>
          <w:kern w:val="0"/>
          <w:sz w:val="32"/>
          <w:szCs w:val="32"/>
        </w:rPr>
        <w:t>污水处理厂、梁山县污水处理厂改扩建、北湖污水处理厂扩建、经开区马集镇污水处理厂</w:t>
      </w:r>
      <w:r>
        <w:rPr>
          <w:rFonts w:hint="eastAsia" w:ascii="仿宋_GB2312" w:hAnsi="仿宋_GB2312" w:eastAsia="仿宋_GB2312" w:cs="仿宋_GB2312"/>
          <w:color w:val="auto"/>
          <w:spacing w:val="6"/>
          <w:kern w:val="0"/>
          <w:sz w:val="32"/>
          <w:szCs w:val="32"/>
          <w:lang w:val="en-US" w:eastAsia="zh-CN"/>
        </w:rPr>
        <w:t>等</w:t>
      </w:r>
      <w:r>
        <w:rPr>
          <w:rFonts w:hint="eastAsia" w:ascii="仿宋_GB2312" w:hAnsi="仿宋_GB2312" w:eastAsia="仿宋_GB2312" w:cs="仿宋_GB2312"/>
          <w:color w:val="auto"/>
          <w:spacing w:val="6"/>
          <w:kern w:val="0"/>
          <w:sz w:val="32"/>
          <w:szCs w:val="32"/>
        </w:rPr>
        <w:t>工程，</w:t>
      </w:r>
      <w:r>
        <w:rPr>
          <w:rFonts w:hint="eastAsia" w:ascii="仿宋_GB2312" w:hAnsi="仿宋_GB2312" w:eastAsia="仿宋_GB2312" w:cs="仿宋_GB2312"/>
          <w:color w:val="auto"/>
          <w:kern w:val="0"/>
          <w:sz w:val="32"/>
          <w:szCs w:val="32"/>
        </w:rPr>
        <w:t>全市新增污水处理能力25万吨/</w:t>
      </w:r>
      <w:r>
        <w:rPr>
          <w:rFonts w:hint="eastAsia" w:ascii="仿宋_GB2312" w:hAnsi="仿宋_GB2312" w:eastAsia="仿宋_GB2312" w:cs="仿宋_GB2312"/>
          <w:color w:val="auto"/>
          <w:kern w:val="0"/>
          <w:sz w:val="32"/>
          <w:szCs w:val="32"/>
          <w:lang w:val="en-US" w:eastAsia="zh-CN"/>
        </w:rPr>
        <w:t>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pacing w:val="6"/>
          <w:kern w:val="0"/>
          <w:sz w:val="32"/>
          <w:szCs w:val="32"/>
        </w:rPr>
        <w:t>建设邹城市鲁抗SY-19生物质发电项目、金乡县污泥处理厂、高新区银河水务污泥处置项目，实现污泥减量化无害化处置</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lang w:val="en-US" w:eastAsia="zh-CN"/>
        </w:rPr>
        <w:t>强化城市污水管网改造，</w:t>
      </w:r>
      <w:r>
        <w:rPr>
          <w:rFonts w:hint="eastAsia" w:ascii="仿宋_GB2312" w:hAnsi="仿宋_GB2312" w:eastAsia="仿宋_GB2312" w:cs="仿宋_GB2312"/>
          <w:color w:val="auto"/>
          <w:kern w:val="0"/>
          <w:sz w:val="32"/>
          <w:szCs w:val="32"/>
        </w:rPr>
        <w:t>2023年完成城市污水管网雨污分流改造任务，</w:t>
      </w:r>
      <w:r>
        <w:rPr>
          <w:rFonts w:hint="eastAsia" w:ascii="仿宋_GB2312" w:hAnsi="仿宋_GB2312" w:eastAsia="仿宋_GB2312" w:cs="仿宋_GB2312"/>
          <w:color w:val="auto"/>
          <w:spacing w:val="6"/>
          <w:kern w:val="0"/>
          <w:sz w:val="32"/>
          <w:szCs w:val="32"/>
          <w:lang w:val="en-US" w:eastAsia="zh-CN"/>
        </w:rPr>
        <w:t>新增污水管网179.9公里。</w:t>
      </w:r>
      <w:r>
        <w:rPr>
          <w:rFonts w:hint="eastAsia" w:ascii="仿宋_GB2312" w:hAnsi="仿宋_GB2312" w:eastAsia="仿宋_GB2312" w:cs="仿宋_GB2312"/>
          <w:color w:val="auto"/>
          <w:kern w:val="0"/>
          <w:sz w:val="32"/>
          <w:szCs w:val="32"/>
        </w:rPr>
        <w:t>实现城市污水全收集、全处理。</w:t>
      </w:r>
    </w:p>
    <w:p>
      <w:pPr>
        <w:pageBreakBefore w:val="0"/>
        <w:kinsoku/>
        <w:wordWrap/>
        <w:overflowPunct/>
        <w:topLinePunct w:val="0"/>
        <w:bidi w:val="0"/>
        <w:adjustRightInd w:val="0"/>
        <w:snapToGrid w:val="0"/>
        <w:spacing w:line="360" w:lineRule="auto"/>
        <w:ind w:firstLine="664" w:firstLineChars="200"/>
        <w:textAlignment w:val="auto"/>
        <w:rPr>
          <w:rFonts w:hint="default" w:ascii="仿宋_GB2312" w:hAnsi="仿宋_GB2312" w:eastAsia="仿宋_GB2312" w:cs="仿宋_GB2312"/>
          <w:color w:val="auto"/>
          <w:spacing w:val="6"/>
          <w:kern w:val="0"/>
          <w:sz w:val="32"/>
          <w:szCs w:val="32"/>
          <w:lang w:val="en-US" w:eastAsia="zh-CN"/>
        </w:rPr>
      </w:pPr>
      <w:r>
        <w:rPr>
          <w:rFonts w:hint="eastAsia" w:ascii="仿宋_GB2312" w:hAnsi="仿宋_GB2312" w:eastAsia="仿宋_GB2312" w:cs="仿宋_GB2312"/>
          <w:color w:val="auto"/>
          <w:spacing w:val="6"/>
          <w:kern w:val="0"/>
          <w:sz w:val="32"/>
          <w:szCs w:val="32"/>
        </w:rPr>
        <w:t>推进农村生活污水治理，改善农村人居环境。坚持生活污水治理与资源利用相结合、工程措施和生态措施相结合、集中处理与分散治理相结合，根据村庄区位条件、社会经济发展状况、产生污水情况，因地制宜，采用建设污水处理站、纳入城镇市政污水管网、</w:t>
      </w:r>
      <w:r>
        <w:rPr>
          <w:rFonts w:hint="eastAsia" w:ascii="仿宋_GB2312" w:hAnsi="仿宋_GB2312" w:eastAsia="仿宋_GB2312" w:cs="仿宋_GB2312"/>
          <w:color w:val="auto"/>
          <w:spacing w:val="6"/>
          <w:kern w:val="0"/>
          <w:sz w:val="32"/>
          <w:szCs w:val="32"/>
          <w:lang w:val="en-US" w:eastAsia="zh-CN"/>
        </w:rPr>
        <w:t>分散拉运集中处理等方式</w:t>
      </w:r>
      <w:r>
        <w:rPr>
          <w:rFonts w:hint="eastAsia" w:ascii="仿宋_GB2312" w:hAnsi="仿宋_GB2312" w:eastAsia="仿宋_GB2312" w:cs="仿宋_GB2312"/>
          <w:color w:val="auto"/>
          <w:spacing w:val="6"/>
          <w:kern w:val="0"/>
          <w:sz w:val="32"/>
          <w:szCs w:val="32"/>
        </w:rPr>
        <w:t>，开展农村生活污水处理设施和配套管网建设，农村生活污水资源化利用。</w:t>
      </w:r>
      <w:r>
        <w:rPr>
          <w:rFonts w:hint="eastAsia" w:ascii="仿宋_GB2312" w:hAnsi="仿宋_GB2312" w:eastAsia="仿宋_GB2312" w:cs="仿宋_GB2312"/>
          <w:color w:val="auto"/>
          <w:kern w:val="0"/>
          <w:sz w:val="32"/>
          <w:szCs w:val="32"/>
        </w:rPr>
        <w:t>2025年农村生活污水治理采用建设污水处理站、纳入城镇市政污水管网、分散拉运集中处理方式的行政村达到</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0%。</w:t>
      </w:r>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pacing w:val="6"/>
          <w:kern w:val="0"/>
          <w:sz w:val="32"/>
          <w:szCs w:val="32"/>
          <w:lang w:val="en-US" w:eastAsia="zh-CN"/>
        </w:rPr>
        <w:t>加强农村黑臭水体治理。</w:t>
      </w:r>
      <w:r>
        <w:rPr>
          <w:rFonts w:hint="eastAsia" w:ascii="仿宋_GB2312" w:hAnsi="仿宋_GB2312" w:eastAsia="仿宋_GB2312" w:cs="仿宋_GB2312"/>
          <w:color w:val="auto"/>
          <w:kern w:val="2"/>
          <w:sz w:val="32"/>
          <w:szCs w:val="32"/>
          <w:highlight w:val="none"/>
          <w:lang w:val="en-US" w:eastAsia="zh-CN" w:bidi="ar-SA"/>
        </w:rPr>
        <w:t>以村民主要集聚区及向外延伸1000米区域内为重点，对全市辖区内农村黑臭水体实施全域排查治理，</w:t>
      </w:r>
      <w:r>
        <w:rPr>
          <w:rFonts w:hint="eastAsia" w:ascii="仿宋_GB2312" w:hAnsi="仿宋_GB2312" w:eastAsia="仿宋_GB2312" w:cs="仿宋_GB2312"/>
          <w:color w:val="auto"/>
          <w:spacing w:val="6"/>
          <w:kern w:val="0"/>
          <w:sz w:val="32"/>
          <w:szCs w:val="32"/>
          <w:lang w:val="en-US" w:eastAsia="zh-CN"/>
        </w:rPr>
        <w:t>一</w:t>
      </w:r>
      <w:r>
        <w:rPr>
          <w:rFonts w:hint="eastAsia" w:ascii="仿宋_GB2312" w:hAnsi="仿宋_GB2312" w:eastAsia="仿宋_GB2312" w:cs="仿宋_GB2312"/>
          <w:color w:val="auto"/>
          <w:kern w:val="0"/>
          <w:sz w:val="32"/>
          <w:szCs w:val="32"/>
        </w:rPr>
        <w:t>年内治理完成农村村庄1km范围内的558处黑臭水体。</w:t>
      </w:r>
      <w:r>
        <w:rPr>
          <w:rFonts w:hint="eastAsia" w:ascii="仿宋_GB2312" w:hAnsi="仿宋_GB2312" w:eastAsia="仿宋_GB2312" w:cs="仿宋_GB2312"/>
          <w:color w:val="auto"/>
          <w:kern w:val="2"/>
          <w:sz w:val="32"/>
          <w:szCs w:val="32"/>
          <w:highlight w:val="none"/>
          <w:lang w:val="en-US" w:eastAsia="zh-CN" w:bidi="ar-SA"/>
        </w:rPr>
        <w:t>利用3年时间集中整治，到2023年基本消除全市农村黑臭水体，让广大农民在乡村振兴中有更多获得感、幸福感。</w:t>
      </w:r>
    </w:p>
    <w:p>
      <w:pPr>
        <w:pageBreakBefore w:val="0"/>
        <w:numPr>
          <w:ilvl w:val="0"/>
          <w:numId w:val="2"/>
        </w:numPr>
        <w:kinsoku/>
        <w:wordWrap/>
        <w:overflowPunct/>
        <w:topLinePunct w:val="0"/>
        <w:bidi w:val="0"/>
        <w:adjustRightInd w:val="0"/>
        <w:snapToGrid w:val="0"/>
        <w:spacing w:line="360" w:lineRule="auto"/>
        <w:ind w:firstLine="642" w:firstLineChars="20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加强水土保持综合治理</w:t>
      </w:r>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坚持预防为主、防治结合，坚持与农业综合开发、土地综合整治等相结合，水源涵养、水土拦蓄和生态防护并重，构建与经济社会发展、乡村振兴相适应的水土流失综合防治体系，实施以小流域为单元的水土流失综合治理，因地制宜推进生态清洁小流域建设，涵养水源、保持水土。实施曲阜市、邹城市、泗水县小流域综合治理和梁山县黄泛平原风沙区水土保持生态建设工程，</w:t>
      </w:r>
      <w:r>
        <w:rPr>
          <w:rFonts w:hint="eastAsia" w:ascii="仿宋_GB2312" w:hAnsi="仿宋_GB2312" w:eastAsia="仿宋_GB2312" w:cs="仿宋_GB2312"/>
          <w:color w:val="auto"/>
          <w:kern w:val="0"/>
          <w:sz w:val="32"/>
          <w:szCs w:val="32"/>
        </w:rPr>
        <w:t>打造清洁、生态、秀美、经济流域17条，治理水土流失面积300km</w:t>
      </w:r>
      <w:r>
        <w:rPr>
          <w:rFonts w:hint="eastAsia" w:ascii="仿宋_GB2312" w:hAnsi="仿宋_GB2312" w:eastAsia="仿宋_GB2312" w:cs="仿宋_GB2312"/>
          <w:color w:val="auto"/>
          <w:kern w:val="0"/>
          <w:sz w:val="32"/>
          <w:szCs w:val="32"/>
          <w:vertAlign w:val="superscript"/>
        </w:rPr>
        <w:t>2</w:t>
      </w:r>
      <w:r>
        <w:rPr>
          <w:rFonts w:hint="eastAsia" w:ascii="仿宋_GB2312" w:hAnsi="仿宋_GB2312" w:eastAsia="仿宋_GB2312" w:cs="仿宋_GB2312"/>
          <w:color w:val="auto"/>
          <w:kern w:val="0"/>
          <w:sz w:val="32"/>
          <w:szCs w:val="32"/>
        </w:rPr>
        <w:t>。</w:t>
      </w:r>
    </w:p>
    <w:p>
      <w:pPr>
        <w:pageBreakBefore w:val="0"/>
        <w:numPr>
          <w:ilvl w:val="0"/>
          <w:numId w:val="2"/>
        </w:numPr>
        <w:kinsoku/>
        <w:wordWrap/>
        <w:overflowPunct/>
        <w:topLinePunct w:val="0"/>
        <w:bidi w:val="0"/>
        <w:adjustRightInd w:val="0"/>
        <w:snapToGrid w:val="0"/>
        <w:spacing w:line="360" w:lineRule="auto"/>
        <w:ind w:firstLine="642" w:firstLineChars="20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加强河湖生态保护与修复</w:t>
      </w:r>
    </w:p>
    <w:p>
      <w:pPr>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w:t>
      </w:r>
      <w:r>
        <w:rPr>
          <w:rFonts w:hint="eastAsia" w:ascii="仿宋_GB2312" w:hAnsi="仿宋_GB2312" w:eastAsia="仿宋_GB2312" w:cs="仿宋_GB2312"/>
          <w:color w:val="auto"/>
          <w:kern w:val="0"/>
          <w:sz w:val="32"/>
          <w:szCs w:val="32"/>
          <w:lang w:val="en-US" w:eastAsia="zh-CN"/>
        </w:rPr>
        <w:t>南四湖生态保护和</w:t>
      </w:r>
      <w:r>
        <w:rPr>
          <w:rFonts w:hint="eastAsia" w:ascii="仿宋_GB2312" w:hAnsi="仿宋_GB2312" w:eastAsia="仿宋_GB2312" w:cs="仿宋_GB2312"/>
          <w:color w:val="auto"/>
          <w:kern w:val="0"/>
          <w:sz w:val="32"/>
          <w:szCs w:val="32"/>
        </w:rPr>
        <w:t>114条河流的水系绿化为抓手，打造“河畅、水清、岸绿、景美、人和”的美丽河湖。实施推进尼山世界文明论坛水系修复治理及114条河流的水系绿化、泗水县龙湾套至尹城水库水系连通等</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处水系连通工程，建设15处水利风景区。</w:t>
      </w:r>
    </w:p>
    <w:p>
      <w:pPr>
        <w:pageBreakBefore w:val="0"/>
        <w:numPr>
          <w:ilvl w:val="0"/>
          <w:numId w:val="2"/>
        </w:numPr>
        <w:kinsoku/>
        <w:wordWrap/>
        <w:overflowPunct/>
        <w:topLinePunct w:val="0"/>
        <w:bidi w:val="0"/>
        <w:adjustRightInd w:val="0"/>
        <w:snapToGrid w:val="0"/>
        <w:spacing w:line="360" w:lineRule="auto"/>
        <w:ind w:firstLine="642" w:firstLineChars="20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加强地下水超采区综合治理</w:t>
      </w:r>
    </w:p>
    <w:p>
      <w:pPr>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配合省水利厅开展地下水超采区重新划定工作，及时修订《济宁市地下水超采区综合整治实施方案》,推进地下水超采区综合治理，落实地下水水位</w:t>
      </w:r>
      <w:r>
        <w:rPr>
          <w:rFonts w:hint="eastAsia" w:ascii="仿宋_GB2312" w:hAnsi="仿宋_GB2312" w:eastAsia="仿宋_GB2312" w:cs="仿宋_GB2312"/>
          <w:color w:val="auto"/>
          <w:kern w:val="0"/>
          <w:sz w:val="32"/>
          <w:szCs w:val="32"/>
          <w:lang w:val="en-US" w:eastAsia="zh-CN"/>
        </w:rPr>
        <w:t>总</w:t>
      </w:r>
      <w:r>
        <w:rPr>
          <w:rFonts w:hint="eastAsia" w:ascii="仿宋_GB2312" w:hAnsi="仿宋_GB2312" w:eastAsia="仿宋_GB2312" w:cs="仿宋_GB2312"/>
          <w:color w:val="auto"/>
          <w:kern w:val="0"/>
          <w:sz w:val="32"/>
          <w:szCs w:val="32"/>
        </w:rPr>
        <w:t>量</w:t>
      </w:r>
      <w:r>
        <w:rPr>
          <w:rFonts w:hint="eastAsia" w:ascii="仿宋_GB2312" w:hAnsi="仿宋_GB2312" w:eastAsia="仿宋_GB2312" w:cs="仿宋_GB2312"/>
          <w:color w:val="auto"/>
          <w:kern w:val="0"/>
          <w:sz w:val="32"/>
          <w:szCs w:val="32"/>
          <w:lang w:val="en-US" w:eastAsia="zh-CN"/>
        </w:rPr>
        <w:t>和用水强度</w:t>
      </w:r>
      <w:r>
        <w:rPr>
          <w:rFonts w:hint="eastAsia" w:ascii="仿宋_GB2312" w:hAnsi="仿宋_GB2312" w:eastAsia="仿宋_GB2312" w:cs="仿宋_GB2312"/>
          <w:color w:val="auto"/>
          <w:kern w:val="0"/>
          <w:sz w:val="32"/>
          <w:szCs w:val="32"/>
        </w:rPr>
        <w:t>双控制度。实施金乡县、鱼台县深层地下水超采区治理，计划地下水压减水量为2589万</w:t>
      </w:r>
      <w:r>
        <w:rPr>
          <w:rFonts w:hint="eastAsia" w:ascii="仿宋_GB2312" w:hAnsi="仿宋_GB2312" w:eastAsia="仿宋_GB2312" w:cs="仿宋_GB2312"/>
          <w:color w:val="auto"/>
          <w:kern w:val="0"/>
          <w:sz w:val="32"/>
          <w:szCs w:val="32"/>
          <w:lang w:val="en-US" w:eastAsia="zh-CN"/>
        </w:rPr>
        <w:t>m</w:t>
      </w:r>
      <w:r>
        <w:rPr>
          <w:rFonts w:hint="eastAsia" w:ascii="仿宋_GB2312" w:hAnsi="仿宋_GB2312" w:eastAsia="仿宋_GB2312" w:cs="仿宋_GB2312"/>
          <w:color w:val="auto"/>
          <w:kern w:val="0"/>
          <w:sz w:val="32"/>
          <w:szCs w:val="32"/>
          <w:vertAlign w:val="superscript"/>
          <w:lang w:val="en-US" w:eastAsia="zh-CN"/>
        </w:rPr>
        <w:t>3</w:t>
      </w:r>
      <w:r>
        <w:rPr>
          <w:rFonts w:hint="eastAsia" w:ascii="仿宋_GB2312" w:hAnsi="仿宋_GB2312" w:eastAsia="仿宋_GB2312" w:cs="仿宋_GB2312"/>
          <w:color w:val="auto"/>
          <w:kern w:val="0"/>
          <w:sz w:val="32"/>
          <w:szCs w:val="32"/>
        </w:rPr>
        <w:t>，巩固提升其他县市区浅层地下水压采治理；开展自备井专项查处整治行动，对非法自备井依法关停，对</w:t>
      </w:r>
      <w:r>
        <w:rPr>
          <w:rFonts w:hint="eastAsia" w:ascii="仿宋_GB2312" w:hAnsi="仿宋_GB2312" w:eastAsia="仿宋_GB2312" w:cs="仿宋_GB2312"/>
          <w:color w:val="auto"/>
          <w:kern w:val="0"/>
          <w:sz w:val="32"/>
          <w:szCs w:val="32"/>
          <w:lang w:val="en-US" w:eastAsia="zh-CN"/>
        </w:rPr>
        <w:t>超采区范围内</w:t>
      </w:r>
      <w:r>
        <w:rPr>
          <w:rFonts w:hint="eastAsia" w:ascii="仿宋_GB2312" w:hAnsi="仿宋_GB2312" w:eastAsia="仿宋_GB2312" w:cs="仿宋_GB2312"/>
          <w:color w:val="auto"/>
          <w:kern w:val="0"/>
          <w:sz w:val="32"/>
          <w:szCs w:val="32"/>
        </w:rPr>
        <w:t>的企业，研究其用水需求计划，促使企业使用地表水，加大地表水利用率，减少地下水</w:t>
      </w:r>
      <w:r>
        <w:rPr>
          <w:rFonts w:hint="eastAsia" w:ascii="仿宋_GB2312" w:hAnsi="仿宋_GB2312" w:eastAsia="仿宋_GB2312" w:cs="仿宋_GB2312"/>
          <w:color w:val="auto"/>
          <w:kern w:val="0"/>
          <w:sz w:val="32"/>
          <w:szCs w:val="32"/>
          <w:lang w:val="en-US" w:eastAsia="zh-CN"/>
        </w:rPr>
        <w:t>开采</w:t>
      </w:r>
      <w:r>
        <w:rPr>
          <w:rFonts w:hint="eastAsia" w:ascii="仿宋_GB2312" w:hAnsi="仿宋_GB2312" w:eastAsia="仿宋_GB2312" w:cs="仿宋_GB2312"/>
          <w:color w:val="auto"/>
          <w:kern w:val="0"/>
          <w:sz w:val="32"/>
          <w:szCs w:val="32"/>
        </w:rPr>
        <w:t>。</w:t>
      </w:r>
    </w:p>
    <w:p>
      <w:pPr>
        <w:pageBreakBefore w:val="0"/>
        <w:numPr>
          <w:ilvl w:val="0"/>
          <w:numId w:val="2"/>
        </w:numPr>
        <w:kinsoku/>
        <w:wordWrap/>
        <w:overflowPunct/>
        <w:topLinePunct w:val="0"/>
        <w:bidi w:val="0"/>
        <w:adjustRightInd w:val="0"/>
        <w:snapToGrid w:val="0"/>
        <w:spacing w:line="360" w:lineRule="auto"/>
        <w:ind w:firstLine="666" w:firstLineChars="200"/>
        <w:textAlignment w:val="auto"/>
        <w:rPr>
          <w:rFonts w:hint="eastAsia" w:ascii="仿宋_GB2312" w:hAnsi="仿宋_GB2312" w:eastAsia="仿宋_GB2312" w:cs="仿宋_GB2312"/>
          <w:b/>
          <w:bCs/>
          <w:color w:val="auto"/>
          <w:spacing w:val="6"/>
          <w:kern w:val="0"/>
          <w:sz w:val="32"/>
          <w:szCs w:val="32"/>
        </w:rPr>
      </w:pPr>
      <w:r>
        <w:rPr>
          <w:rFonts w:hint="eastAsia" w:ascii="仿宋_GB2312" w:hAnsi="仿宋_GB2312" w:eastAsia="仿宋_GB2312" w:cs="仿宋_GB2312"/>
          <w:b/>
          <w:bCs/>
          <w:color w:val="auto"/>
          <w:spacing w:val="6"/>
          <w:kern w:val="0"/>
          <w:sz w:val="32"/>
          <w:szCs w:val="32"/>
          <w:lang w:val="en-US" w:eastAsia="zh-CN"/>
        </w:rPr>
        <w:t>实施</w:t>
      </w:r>
      <w:r>
        <w:rPr>
          <w:rFonts w:hint="eastAsia" w:ascii="仿宋_GB2312" w:hAnsi="仿宋_GB2312" w:eastAsia="仿宋_GB2312" w:cs="仿宋_GB2312"/>
          <w:b/>
          <w:bCs/>
          <w:color w:val="auto"/>
          <w:spacing w:val="6"/>
          <w:kern w:val="0"/>
          <w:sz w:val="32"/>
          <w:szCs w:val="32"/>
        </w:rPr>
        <w:t>农村水系综合整治</w:t>
      </w:r>
    </w:p>
    <w:p>
      <w:pPr>
        <w:pStyle w:val="33"/>
        <w:pageBreakBefore w:val="0"/>
        <w:kinsoku/>
        <w:wordWrap/>
        <w:overflowPunct/>
        <w:topLinePunct w:val="0"/>
        <w:bidi w:val="0"/>
        <w:adjustRightInd w:val="0"/>
        <w:snapToGrid w:val="0"/>
        <w:spacing w:after="120" w:line="360" w:lineRule="auto"/>
        <w:ind w:firstLine="664" w:firstLineChars="200"/>
        <w:textAlignment w:val="auto"/>
        <w:rPr>
          <w:rFonts w:hint="eastAsia" w:ascii="仿宋_GB2312" w:hAnsi="仿宋_GB2312" w:eastAsia="仿宋_GB2312" w:cs="仿宋_GB2312"/>
          <w:color w:val="auto"/>
          <w:spacing w:val="6"/>
          <w:kern w:val="0"/>
          <w:sz w:val="32"/>
          <w:szCs w:val="32"/>
          <w:lang w:val="en-US" w:eastAsia="zh-CN" w:bidi="ar-SA"/>
        </w:rPr>
      </w:pPr>
      <w:r>
        <w:rPr>
          <w:rFonts w:hint="eastAsia" w:ascii="仿宋_GB2312" w:hAnsi="仿宋_GB2312" w:eastAsia="仿宋_GB2312" w:cs="仿宋_GB2312"/>
          <w:color w:val="auto"/>
          <w:spacing w:val="6"/>
          <w:kern w:val="0"/>
          <w:sz w:val="32"/>
          <w:szCs w:val="32"/>
          <w:lang w:val="en-US" w:eastAsia="zh-CN" w:bidi="ar-SA"/>
        </w:rPr>
        <w:t>按照实施乡村振兴战略的要求，针对农村水系存在的淤塞萎缩、水污染严重、水生态恶化等突出问题，立足乡村河流特点和保护发展需要，坚持问题导向、目标导向，按照“表象在水体，根源在陆域”的思路，以县域为单元、河流为脉络、村庄为节点，通过清淤疏浚、岸坡整治、水系连通、水源涵养与水土保持等多种措施，集中连片推进，水域岸线并治，结合村庄建设和产业发展，实施微山县、嘉祥县、邹城市、泗水县、汶上县、金乡县等农村水系综合治理工程，建设“水美乡村”，不断增强农村群众的获得感、幸福感、安全感，促进乡村全面振兴。</w:t>
      </w:r>
    </w:p>
    <w:p>
      <w:pPr>
        <w:pageBreakBefore w:val="0"/>
        <w:numPr>
          <w:ilvl w:val="0"/>
          <w:numId w:val="2"/>
        </w:numPr>
        <w:kinsoku/>
        <w:wordWrap/>
        <w:overflowPunct/>
        <w:topLinePunct w:val="0"/>
        <w:bidi w:val="0"/>
        <w:adjustRightInd w:val="0"/>
        <w:snapToGrid w:val="0"/>
        <w:spacing w:line="360" w:lineRule="auto"/>
        <w:ind w:firstLine="666" w:firstLineChars="200"/>
        <w:textAlignment w:val="auto"/>
        <w:rPr>
          <w:rFonts w:hint="eastAsia" w:ascii="仿宋_GB2312" w:hAnsi="仿宋_GB2312" w:eastAsia="仿宋_GB2312" w:cs="仿宋_GB2312"/>
          <w:b/>
          <w:bCs/>
          <w:color w:val="auto"/>
          <w:spacing w:val="6"/>
          <w:kern w:val="0"/>
          <w:sz w:val="32"/>
          <w:szCs w:val="32"/>
        </w:rPr>
      </w:pPr>
      <w:r>
        <w:rPr>
          <w:rFonts w:hint="eastAsia" w:ascii="仿宋_GB2312" w:hAnsi="仿宋_GB2312" w:eastAsia="仿宋_GB2312" w:cs="仿宋_GB2312"/>
          <w:b/>
          <w:bCs/>
          <w:color w:val="auto"/>
          <w:spacing w:val="6"/>
          <w:kern w:val="0"/>
          <w:sz w:val="32"/>
          <w:szCs w:val="32"/>
          <w:lang w:val="en-US" w:eastAsia="zh-CN"/>
        </w:rPr>
        <w:t>实施</w:t>
      </w:r>
      <w:r>
        <w:rPr>
          <w:rFonts w:hint="eastAsia" w:ascii="仿宋_GB2312" w:hAnsi="仿宋_GB2312" w:eastAsia="仿宋_GB2312" w:cs="仿宋_GB2312"/>
          <w:b/>
          <w:bCs/>
          <w:color w:val="auto"/>
          <w:spacing w:val="6"/>
          <w:kern w:val="0"/>
          <w:sz w:val="32"/>
          <w:szCs w:val="32"/>
        </w:rPr>
        <w:t>大中型水库移民后期扶持工程</w:t>
      </w:r>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lang w:eastAsia="zh-CN"/>
        </w:rPr>
      </w:pPr>
      <w:r>
        <w:rPr>
          <w:rFonts w:hint="eastAsia" w:ascii="仿宋_GB2312" w:hAnsi="仿宋_GB2312" w:eastAsia="仿宋_GB2312" w:cs="仿宋_GB2312"/>
          <w:color w:val="auto"/>
          <w:spacing w:val="6"/>
          <w:kern w:val="0"/>
          <w:sz w:val="32"/>
          <w:szCs w:val="32"/>
        </w:rPr>
        <w:t>围绕水库移民人居环境显著改善的目标，积极推进移民村人居环境整治。实施村庄清洁行动。加强移民村生活垃圾治理和黑臭水体整治，因地制宜推进污水处理设施建设，提升移民人居环境质量。整治提升村容村貌，实施村庄美化、洁化、硬化、亮化、绿化行动，提升移民村形象</w:t>
      </w:r>
      <w:r>
        <w:rPr>
          <w:rFonts w:hint="eastAsia" w:ascii="仿宋_GB2312" w:hAnsi="仿宋_GB2312" w:eastAsia="仿宋_GB2312" w:cs="仿宋_GB2312"/>
          <w:color w:val="auto"/>
          <w:spacing w:val="6"/>
          <w:kern w:val="0"/>
          <w:sz w:val="32"/>
          <w:szCs w:val="32"/>
          <w:lang w:eastAsia="zh-CN"/>
        </w:rPr>
        <w:t>。</w:t>
      </w:r>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p>
    <w:tbl>
      <w:tblPr>
        <w:tblStyle w:val="20"/>
        <w:tblpPr w:leftFromText="180" w:rightFromText="180" w:vertAnchor="text" w:horzAnchor="page" w:tblpX="1792" w:tblpY="-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spacing w:line="520" w:lineRule="exact"/>
              <w:contextualSpacing/>
              <w:jc w:val="center"/>
              <w:rPr>
                <w:rFonts w:hint="default" w:ascii="仿宋_GB2312" w:hAnsi="黑体" w:eastAsia="仿宋_GB2312" w:cs="Calibri"/>
                <w:sz w:val="32"/>
                <w:szCs w:val="32"/>
                <w:lang w:val="en-US"/>
              </w:rPr>
            </w:pPr>
            <w:r>
              <w:rPr>
                <w:rFonts w:hint="eastAsia" w:ascii="仿宋_GB2312" w:hAnsi="仿宋_GB2312" w:eastAsia="仿宋_GB2312" w:cs="仿宋_GB2312"/>
                <w:b/>
                <w:bCs/>
                <w:sz w:val="30"/>
                <w:szCs w:val="30"/>
              </w:rPr>
              <w:t>专栏</w:t>
            </w:r>
            <w:r>
              <w:rPr>
                <w:rFonts w:hint="eastAsia" w:ascii="仿宋_GB2312" w:hAnsi="仿宋_GB2312" w:eastAsia="仿宋_GB2312" w:cs="仿宋_GB2312"/>
                <w:b/>
                <w:bCs/>
                <w:sz w:val="30"/>
                <w:szCs w:val="30"/>
                <w:lang w:val="en-US" w:eastAsia="zh-CN"/>
              </w:rPr>
              <w:t>3</w:t>
            </w:r>
            <w:r>
              <w:rPr>
                <w:rFonts w:hint="eastAsia" w:ascii="仿宋_GB2312" w:hAnsi="仿宋_GB2312" w:eastAsia="仿宋_GB2312" w:cs="仿宋_GB2312"/>
                <w:b/>
                <w:bCs/>
                <w:sz w:val="30"/>
                <w:szCs w:val="30"/>
              </w:rPr>
              <w:t xml:space="preserve">  </w:t>
            </w:r>
            <w:r>
              <w:rPr>
                <w:rFonts w:hint="eastAsia" w:ascii="仿宋_GB2312" w:hAnsi="仿宋_GB2312" w:eastAsia="仿宋_GB2312" w:cs="仿宋_GB2312"/>
                <w:b/>
                <w:bCs/>
                <w:sz w:val="30"/>
                <w:szCs w:val="30"/>
                <w:lang w:val="en-US" w:eastAsia="zh-CN"/>
              </w:rPr>
              <w:t>水生态体系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9"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污水处理提升工程：</w:t>
            </w:r>
            <w:r>
              <w:rPr>
                <w:rFonts w:hint="eastAsia" w:ascii="仿宋_GB2312" w:hAnsi="仿宋_GB2312" w:eastAsia="仿宋_GB2312" w:cs="仿宋_GB2312"/>
                <w:b w:val="0"/>
                <w:bCs w:val="0"/>
                <w:color w:val="auto"/>
                <w:kern w:val="0"/>
                <w:sz w:val="24"/>
                <w:szCs w:val="24"/>
                <w:lang w:val="en-US" w:eastAsia="zh-CN" w:bidi="ar-SA"/>
              </w:rPr>
              <w:t>实施农村生活污水治理工程；实施任城新区污水处理厂二期工程、任城区南张污水处理厂工程、兖州区颜店新城污水处理厂工程、曲阜市第六污水处理厂、鱼台县西城区污水处理及配套工程建设项目、汶上县佛都污水处理厂扩建工程、梁山县污水处理厂改、扩建工程、北湖污水处理厂扩建工程、经开区马集镇污水处理厂工程；建设邹城市鲁抗SY-19生物质发电项目、金乡县污泥处理厂、高新区银河水务污泥处置项目。实施城区污水管网改造工程；加强农村黑臭水体治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水土保持生态建设：</w:t>
            </w:r>
            <w:r>
              <w:rPr>
                <w:rFonts w:hint="eastAsia" w:ascii="仿宋_GB2312" w:hAnsi="仿宋_GB2312" w:eastAsia="仿宋_GB2312" w:cs="仿宋_GB2312"/>
                <w:b w:val="0"/>
                <w:bCs w:val="0"/>
                <w:color w:val="auto"/>
                <w:kern w:val="0"/>
                <w:sz w:val="24"/>
                <w:szCs w:val="24"/>
                <w:lang w:val="en-US" w:eastAsia="zh-CN" w:bidi="ar-SA"/>
              </w:rPr>
              <w:t>实施曲阜市、邹城市、泗水县小流域综合治理和梁山县黄泛平原风沙区水土保持生态建设工程。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河湖生态保护与修复：</w:t>
            </w:r>
            <w:r>
              <w:rPr>
                <w:rFonts w:hint="eastAsia" w:ascii="仿宋_GB2312" w:hAnsi="仿宋_GB2312" w:eastAsia="仿宋_GB2312" w:cs="仿宋_GB2312"/>
                <w:b w:val="0"/>
                <w:bCs w:val="0"/>
                <w:color w:val="auto"/>
                <w:kern w:val="0"/>
                <w:sz w:val="24"/>
                <w:szCs w:val="24"/>
                <w:lang w:val="en-US" w:eastAsia="zh-CN" w:bidi="ar-SA"/>
              </w:rPr>
              <w:t>推进尼山世界文明论坛水系修复治理；实施曲阜、泗水、金乡、嘉祥县、鱼台县、汶上县河湖水系生态治理修复工程；实施曲阜市崇文湖调水工程、泗水县龙湾湖至尹城湖水系连通、泗河济河水系连通、泗河大颜庙水库连通、邹城市白马河大沙河综合整治工程、邹西水系生态治理连通、鱼台县河湖水系连通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textAlignment w:val="auto"/>
              <w:outlineLvl w:val="9"/>
              <w:rPr>
                <w:rFonts w:hint="eastAsia"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农村水系综合整治：</w:t>
            </w:r>
            <w:r>
              <w:rPr>
                <w:rFonts w:hint="eastAsia" w:ascii="仿宋_GB2312" w:hAnsi="仿宋_GB2312" w:eastAsia="仿宋_GB2312" w:cs="仿宋_GB2312"/>
                <w:b w:val="0"/>
                <w:bCs w:val="0"/>
                <w:color w:val="auto"/>
                <w:kern w:val="0"/>
                <w:sz w:val="24"/>
                <w:szCs w:val="24"/>
                <w:lang w:val="en-US" w:eastAsia="zh-CN" w:bidi="ar-SA"/>
              </w:rPr>
              <w:t>实施泗水县、邹城市、微山县、金乡县等6县域农村水系综合治理工程。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textAlignment w:val="auto"/>
              <w:outlineLvl w:val="9"/>
              <w:rPr>
                <w:rFonts w:hint="default"/>
                <w:lang w:val="en-US" w:eastAsia="zh-CN"/>
              </w:rPr>
            </w:pPr>
            <w:r>
              <w:rPr>
                <w:rFonts w:hint="eastAsia" w:ascii="仿宋_GB2312" w:hAnsi="仿宋_GB2312" w:eastAsia="仿宋_GB2312" w:cs="仿宋_GB2312"/>
                <w:b/>
                <w:bCs/>
                <w:color w:val="auto"/>
                <w:kern w:val="0"/>
                <w:sz w:val="24"/>
                <w:szCs w:val="24"/>
                <w:lang w:val="en-US" w:eastAsia="zh-CN" w:bidi="ar-SA"/>
              </w:rPr>
              <w:t>大中型水库移民后期扶持工程：</w:t>
            </w:r>
            <w:r>
              <w:rPr>
                <w:rFonts w:hint="eastAsia" w:ascii="仿宋_GB2312" w:hAnsi="仿宋_GB2312" w:eastAsia="仿宋_GB2312" w:cs="仿宋_GB2312"/>
                <w:b w:val="0"/>
                <w:bCs w:val="0"/>
                <w:color w:val="auto"/>
                <w:kern w:val="0"/>
                <w:sz w:val="24"/>
                <w:szCs w:val="24"/>
                <w:lang w:val="en-US" w:eastAsia="zh-CN" w:bidi="ar-SA"/>
              </w:rPr>
              <w:t>实施曲阜市、邹城市、梁山县、泗水县、汶上县大中型水库移民后期扶持资金项目。</w:t>
            </w:r>
          </w:p>
          <w:p>
            <w:pPr>
              <w:pStyle w:val="2"/>
              <w:rPr>
                <w:rFonts w:hint="eastAsia" w:ascii="仿宋_GB2312" w:hAnsi="仿宋_GB2312" w:eastAsia="仿宋_GB2312" w:cs="仿宋_GB2312"/>
                <w:b w:val="0"/>
                <w:bCs w:val="0"/>
                <w:color w:val="auto"/>
                <w:kern w:val="0"/>
                <w:sz w:val="24"/>
                <w:szCs w:val="24"/>
                <w:lang w:val="en-US" w:eastAsia="zh-CN"/>
              </w:rPr>
            </w:pPr>
          </w:p>
        </w:tc>
      </w:tr>
    </w:tbl>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33" w:name="_Toc12322"/>
      <w:r>
        <w:rPr>
          <w:rFonts w:hint="eastAsia" w:ascii="楷体" w:hAnsi="楷体" w:eastAsia="楷体" w:cs="仿宋_GB2312"/>
          <w:color w:val="auto"/>
        </w:rPr>
        <w:t>（四）构建智慧的水务信息化体系</w:t>
      </w:r>
      <w:bookmarkEnd w:id="32"/>
      <w:bookmarkEnd w:id="33"/>
    </w:p>
    <w:p>
      <w:pPr>
        <w:adjustRightInd w:val="0"/>
        <w:snapToGrid w:val="0"/>
        <w:spacing w:line="360" w:lineRule="auto"/>
        <w:ind w:firstLine="664" w:firstLineChars="200"/>
        <w:rPr>
          <w:rFonts w:hint="eastAsia" w:ascii="仿宋" w:hAnsi="仿宋" w:eastAsia="仿宋" w:cs="仿宋"/>
          <w:color w:val="000000" w:themeColor="text1"/>
          <w:spacing w:val="6"/>
          <w:kern w:val="0"/>
          <w:sz w:val="28"/>
          <w:szCs w:val="28"/>
          <w14:textFill>
            <w14:solidFill>
              <w14:schemeClr w14:val="tx1"/>
            </w14:solidFill>
          </w14:textFill>
        </w:rPr>
      </w:pPr>
      <w:bookmarkStart w:id="34" w:name="_Toc15776"/>
      <w:r>
        <w:rPr>
          <w:rFonts w:hint="eastAsia" w:ascii="仿宋_GB2312" w:hAnsi="仿宋_GB2312" w:eastAsia="仿宋_GB2312" w:cs="仿宋_GB2312"/>
          <w:color w:val="auto"/>
          <w:spacing w:val="6"/>
          <w:kern w:val="0"/>
          <w:sz w:val="32"/>
          <w:szCs w:val="32"/>
        </w:rPr>
        <w:t>以水务改革发展为载体，充分运用物联网、大数据、云计算等新一代信息技术，建立智慧水务管理平台，推动信息技术与水务业务工作深度融合。结合山东省水利厅、济宁市智慧城市建设相关任务部署，支撑“十四五”期间智慧水务建设“巩基础、理数据、强支撑、智应用、健保障”五大目标，提出“智慧水务新型基础设施建设工程”、“全市水利一体化业务融合平台建设工程”、“重点水利工程标准化运行管理平台建设工程”三大建设工程。对接省市县及国家水利部综合监管平台，实现业务信息共享，全面补强水务信息化工程短板，提升水务工作智能化水平。</w:t>
      </w:r>
      <w:bookmarkStart w:id="35" w:name="_Toc54848646"/>
      <w:bookmarkStart w:id="36" w:name="_Toc56465635"/>
    </w:p>
    <w:p>
      <w:pPr>
        <w:pageBreakBefore w:val="0"/>
        <w:numPr>
          <w:ilvl w:val="0"/>
          <w:numId w:val="0"/>
        </w:numPr>
        <w:kinsoku/>
        <w:wordWrap/>
        <w:overflowPunct/>
        <w:topLinePunct w:val="0"/>
        <w:bidi w:val="0"/>
        <w:adjustRightInd w:val="0"/>
        <w:snapToGrid w:val="0"/>
        <w:spacing w:line="360" w:lineRule="auto"/>
        <w:ind w:firstLine="666" w:firstLineChars="200"/>
        <w:textAlignment w:val="auto"/>
        <w:rPr>
          <w:rFonts w:hint="eastAsia" w:ascii="仿宋_GB2312" w:hAnsi="仿宋_GB2312" w:eastAsia="仿宋_GB2312" w:cs="仿宋_GB2312"/>
          <w:b/>
          <w:bCs/>
          <w:color w:val="auto"/>
          <w:spacing w:val="6"/>
          <w:kern w:val="0"/>
          <w:sz w:val="32"/>
          <w:szCs w:val="32"/>
          <w:lang w:val="en-US" w:eastAsia="zh-CN"/>
        </w:rPr>
      </w:pPr>
      <w:r>
        <w:rPr>
          <w:rFonts w:hint="eastAsia" w:ascii="仿宋_GB2312" w:hAnsi="仿宋_GB2312" w:eastAsia="仿宋_GB2312" w:cs="仿宋_GB2312"/>
          <w:b/>
          <w:bCs/>
          <w:color w:val="auto"/>
          <w:spacing w:val="6"/>
          <w:kern w:val="0"/>
          <w:sz w:val="32"/>
          <w:szCs w:val="32"/>
          <w:lang w:val="en-US" w:eastAsia="zh-CN"/>
        </w:rPr>
        <w:t>1、智慧水务新型基础设施建设工程</w:t>
      </w:r>
      <w:bookmarkEnd w:id="35"/>
      <w:bookmarkEnd w:id="36"/>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新型基础设施建设，主要包括5G基站建设、大数据中心、人工智能、工业互联网等七大领域，以新发展理念为引领，以技术创新为驱动，以信息网络为基础，面向高质量发展需要，提供数字转型、智能升级、融合创新等服务的基础设施体系。</w:t>
      </w:r>
      <w:bookmarkStart w:id="37" w:name="_Hlk49169135"/>
      <w:r>
        <w:rPr>
          <w:rFonts w:hint="eastAsia" w:ascii="仿宋_GB2312" w:hAnsi="仿宋_GB2312" w:eastAsia="仿宋_GB2312" w:cs="仿宋_GB2312"/>
          <w:color w:val="auto"/>
          <w:spacing w:val="6"/>
          <w:kern w:val="0"/>
          <w:sz w:val="32"/>
          <w:szCs w:val="32"/>
        </w:rPr>
        <w:t>智慧水务新型基础设施建设工程主要是结合大数据、云计算、物联网、5G技术、人工智能等新一代信息技术在水利感知体系、网络体系、数字资源体系以及业务支撑与应用体系方面的建设</w:t>
      </w:r>
      <w:bookmarkEnd w:id="37"/>
      <w:r>
        <w:rPr>
          <w:rFonts w:hint="eastAsia" w:ascii="仿宋_GB2312" w:hAnsi="仿宋_GB2312" w:eastAsia="仿宋_GB2312" w:cs="仿宋_GB2312"/>
          <w:color w:val="auto"/>
          <w:spacing w:val="6"/>
          <w:kern w:val="0"/>
          <w:sz w:val="32"/>
          <w:szCs w:val="32"/>
        </w:rPr>
        <w:t>。具体内容如下：</w:t>
      </w:r>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bookmarkStart w:id="38" w:name="_Hlk49169160"/>
      <w:bookmarkStart w:id="39" w:name="_Toc54848647"/>
      <w:r>
        <w:rPr>
          <w:rFonts w:hint="eastAsia" w:ascii="仿宋_GB2312" w:hAnsi="仿宋_GB2312" w:eastAsia="仿宋_GB2312" w:cs="仿宋_GB2312"/>
          <w:color w:val="auto"/>
          <w:spacing w:val="6"/>
          <w:kern w:val="0"/>
          <w:sz w:val="32"/>
          <w:szCs w:val="32"/>
        </w:rPr>
        <w:t>（1）天空地一体化水利感知网建设工程</w:t>
      </w:r>
      <w:bookmarkEnd w:id="38"/>
      <w:bookmarkEnd w:id="39"/>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围绕水灾害防御、水资源保障、水生态保护、水工程监管、水政务协同和水公共服务六大业务核心应用的感知需求，利用卫星遥感、无人机、视频图像AI等技术，建设天空地一体化智能感知体系，实现重点河流湖泊、大中型水利工程感知全覆盖和智能分析，为全面提升水利治理能力提供基础支撑。</w:t>
      </w:r>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bookmarkStart w:id="40" w:name="_Toc54848648"/>
      <w:bookmarkStart w:id="41" w:name="_Hlk49169174"/>
      <w:r>
        <w:rPr>
          <w:rFonts w:hint="eastAsia" w:ascii="仿宋_GB2312" w:hAnsi="仿宋_GB2312" w:eastAsia="仿宋_GB2312" w:cs="仿宋_GB2312"/>
          <w:color w:val="auto"/>
          <w:spacing w:val="6"/>
          <w:kern w:val="0"/>
          <w:sz w:val="32"/>
          <w:szCs w:val="32"/>
        </w:rPr>
        <w:t>（2）水利云网融合建设工程</w:t>
      </w:r>
      <w:bookmarkEnd w:id="40"/>
      <w:bookmarkEnd w:id="41"/>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完善水利网络建设，立足现有基础，统筹现有水利业务网、工控网、电子政务网和互联网，厘清水利系统内部各级网络层次、水利业务网与政务外网接口，进一步完善网络建设。</w:t>
      </w:r>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bookmarkStart w:id="42" w:name="_Toc54848649"/>
      <w:r>
        <w:rPr>
          <w:rFonts w:hint="eastAsia" w:ascii="仿宋_GB2312" w:hAnsi="仿宋_GB2312" w:eastAsia="仿宋_GB2312" w:cs="仿宋_GB2312"/>
          <w:color w:val="auto"/>
          <w:spacing w:val="6"/>
          <w:kern w:val="0"/>
          <w:sz w:val="32"/>
          <w:szCs w:val="32"/>
        </w:rPr>
        <w:t>（3）网络安全体系提升改造工程</w:t>
      </w:r>
      <w:bookmarkEnd w:id="42"/>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依据《信息安全技术网络安全等级保护基本要求》（GB/T22239-2019）等标准规范，完善涵盖安全技术、安全管理、安全运营的智慧水务网络安全主动防御体系，全面提升网络安全威胁防御、发现和处置能力。</w:t>
      </w:r>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bookmarkStart w:id="43" w:name="_Toc54848650"/>
      <w:r>
        <w:rPr>
          <w:rFonts w:hint="eastAsia" w:ascii="仿宋_GB2312" w:hAnsi="仿宋_GB2312" w:eastAsia="仿宋_GB2312" w:cs="仿宋_GB2312"/>
          <w:color w:val="auto"/>
          <w:spacing w:val="6"/>
          <w:kern w:val="0"/>
          <w:sz w:val="32"/>
          <w:szCs w:val="32"/>
        </w:rPr>
        <w:t>（4）数字水利数据服务能力提升工程</w:t>
      </w:r>
      <w:bookmarkEnd w:id="43"/>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bookmarkStart w:id="44" w:name="_Hlk49169187"/>
      <w:r>
        <w:rPr>
          <w:rFonts w:hint="eastAsia" w:ascii="仿宋_GB2312" w:hAnsi="仿宋_GB2312" w:eastAsia="仿宋_GB2312" w:cs="仿宋_GB2312"/>
          <w:color w:val="auto"/>
          <w:spacing w:val="6"/>
          <w:kern w:val="0"/>
          <w:sz w:val="32"/>
          <w:szCs w:val="32"/>
        </w:rPr>
        <w:t>按照大中台、小前台、微服务的架构，将共性应用资产下沉，重点聚焦于水利业务共性剥离和微服务构建，通过为上层水利业务应用统一提供公共基础服务支撑，避免不同水利业务应用之间的重复建设，支持前台快速开展业务创新。以“一湖三中台”建设模式，提升数字水利数据服务能力，具体包括水利大数据湖、技术中台、AI中台与业务中台。</w:t>
      </w:r>
    </w:p>
    <w:bookmarkEnd w:id="44"/>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bookmarkStart w:id="45" w:name="_Toc54848651"/>
      <w:r>
        <w:rPr>
          <w:rFonts w:hint="eastAsia" w:ascii="仿宋_GB2312" w:hAnsi="仿宋_GB2312" w:eastAsia="仿宋_GB2312" w:cs="仿宋_GB2312"/>
          <w:color w:val="auto"/>
          <w:spacing w:val="6"/>
          <w:kern w:val="0"/>
          <w:sz w:val="32"/>
          <w:szCs w:val="32"/>
        </w:rPr>
        <w:t>（5）水利“一张图”提升工程</w:t>
      </w:r>
      <w:bookmarkEnd w:id="45"/>
    </w:p>
    <w:p>
      <w:pPr>
        <w:pageBreakBefore w:val="0"/>
        <w:kinsoku/>
        <w:wordWrap/>
        <w:overflowPunct/>
        <w:topLinePunct w:val="0"/>
        <w:bidi w:val="0"/>
        <w:adjustRightInd w:val="0"/>
        <w:snapToGrid w:val="0"/>
        <w:spacing w:line="360" w:lineRule="auto"/>
        <w:ind w:firstLine="664" w:firstLineChars="200"/>
        <w:textAlignment w:val="auto"/>
        <w:rPr>
          <w:rFonts w:hint="eastAsia" w:ascii="仿宋" w:hAnsi="仿宋" w:eastAsia="仿宋" w:cs="仿宋"/>
          <w:color w:val="000000" w:themeColor="text1"/>
          <w:spacing w:val="6"/>
          <w:kern w:val="0"/>
          <w:sz w:val="28"/>
          <w:szCs w:val="28"/>
          <w14:textFill>
            <w14:solidFill>
              <w14:schemeClr w14:val="tx1"/>
            </w14:solidFill>
          </w14:textFill>
        </w:rPr>
      </w:pPr>
      <w:r>
        <w:rPr>
          <w:rFonts w:hint="eastAsia" w:ascii="仿宋_GB2312" w:hAnsi="仿宋_GB2312" w:eastAsia="仿宋_GB2312" w:cs="仿宋_GB2312"/>
          <w:color w:val="auto"/>
          <w:spacing w:val="6"/>
          <w:kern w:val="0"/>
          <w:sz w:val="32"/>
          <w:szCs w:val="32"/>
        </w:rPr>
        <w:t>基于济宁市水旱灾害防御指挥系统一张图，整合济宁市各局委办水利相关的基础及业务数据，从自然、工程、管理3个方面将涉及各水利业务领域的水利对象划分为河流湖泊水系、水利工程设施和水利管理活动，建成河湖自然专题图、工程设施专题图、管理活动专题图三大专题图，。实现水利空间数据成果“一张图”全展示，实现水利空间资源协同共享，为水利空间数据广泛应用奠定基础。提供水利空间全域搜索能力，透彻解析水利空间资源。实现市水利行政主管部门一张图服务，结合BIM、3D、VR等虚拟现实手段，推进新一代水利业务应用建设和创新，为我市水务业务提供权威、高效、安全、规范的一张图服务。</w:t>
      </w:r>
      <w:bookmarkStart w:id="46" w:name="_Toc54848652"/>
      <w:bookmarkStart w:id="47" w:name="_Toc56465636"/>
    </w:p>
    <w:p>
      <w:pPr>
        <w:pageBreakBefore w:val="0"/>
        <w:numPr>
          <w:ilvl w:val="0"/>
          <w:numId w:val="0"/>
        </w:numPr>
        <w:kinsoku/>
        <w:wordWrap/>
        <w:overflowPunct/>
        <w:topLinePunct w:val="0"/>
        <w:bidi w:val="0"/>
        <w:adjustRightInd w:val="0"/>
        <w:snapToGrid w:val="0"/>
        <w:spacing w:line="360" w:lineRule="auto"/>
        <w:ind w:firstLine="666" w:firstLineChars="200"/>
        <w:textAlignment w:val="auto"/>
        <w:rPr>
          <w:rFonts w:hint="eastAsia" w:ascii="仿宋_GB2312" w:hAnsi="仿宋_GB2312" w:eastAsia="仿宋_GB2312" w:cs="仿宋_GB2312"/>
          <w:b/>
          <w:bCs/>
          <w:color w:val="auto"/>
          <w:spacing w:val="6"/>
          <w:kern w:val="0"/>
          <w:sz w:val="32"/>
          <w:szCs w:val="32"/>
          <w:lang w:val="en-US" w:eastAsia="zh-CN"/>
        </w:rPr>
      </w:pPr>
      <w:r>
        <w:rPr>
          <w:rFonts w:hint="eastAsia" w:ascii="仿宋_GB2312" w:hAnsi="仿宋_GB2312" w:eastAsia="仿宋_GB2312" w:cs="仿宋_GB2312"/>
          <w:b/>
          <w:bCs/>
          <w:color w:val="auto"/>
          <w:spacing w:val="6"/>
          <w:kern w:val="0"/>
          <w:sz w:val="32"/>
          <w:szCs w:val="32"/>
          <w:lang w:val="en-US" w:eastAsia="zh-CN"/>
        </w:rPr>
        <w:t>2、全市一体化业务应用平台建设工程</w:t>
      </w:r>
      <w:bookmarkEnd w:id="46"/>
      <w:bookmarkEnd w:id="47"/>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包括业务整合、业务协同基础性建设以及六大水利核心业务数字化提升建设两方面内容。</w:t>
      </w:r>
    </w:p>
    <w:p>
      <w:pPr>
        <w:pageBreakBefore w:val="0"/>
        <w:kinsoku/>
        <w:wordWrap/>
        <w:overflowPunct/>
        <w:topLinePunct w:val="0"/>
        <w:bidi w:val="0"/>
        <w:adjustRightInd w:val="0"/>
        <w:snapToGrid w:val="0"/>
        <w:spacing w:line="360" w:lineRule="auto"/>
        <w:ind w:firstLine="664" w:firstLineChars="200"/>
        <w:textAlignment w:val="auto"/>
        <w:rPr>
          <w:rFonts w:hint="eastAsia" w:ascii="仿宋" w:hAnsi="仿宋" w:eastAsia="仿宋" w:cs="仿宋"/>
          <w:color w:val="000000" w:themeColor="text1"/>
          <w:spacing w:val="6"/>
          <w:kern w:val="0"/>
          <w:sz w:val="28"/>
          <w:szCs w:val="28"/>
          <w14:textFill>
            <w14:solidFill>
              <w14:schemeClr w14:val="tx1"/>
            </w14:solidFill>
          </w14:textFill>
        </w:rPr>
      </w:pPr>
      <w:r>
        <w:rPr>
          <w:rFonts w:hint="eastAsia" w:ascii="仿宋_GB2312" w:hAnsi="仿宋_GB2312" w:eastAsia="仿宋_GB2312" w:cs="仿宋_GB2312"/>
          <w:color w:val="auto"/>
          <w:spacing w:val="6"/>
          <w:kern w:val="0"/>
          <w:sz w:val="32"/>
          <w:szCs w:val="32"/>
        </w:rPr>
        <w:t>业务整合与模块化建设，根据我市水利业务的特点特性，按业务相关性、协同性进行业务应用模块的划分，以微服务架构对全市水利业务进行重组和整合，实现水利业务的相互关联、相互协同。形成以水灾害防御、水资源保障、水生态保护、水工程监管、水政务协同、水公共服务为6大核心的一级业务应用服务模块。水灾害防御主要覆盖洪水、干旱、物资管理等业务，水资源保障主要覆盖水资源管理、水资源开发利用、节水、农村供水等业务，水生态保护主要覆盖河湖管理保护、水土保持等业务，水工程监管主要覆盖水利工程安全运行，水利工程建设管理等业务，水政务协同覆盖水利监督、水库移民、水利财务、人事培训等业务，水公共服务主要覆盖信息公开、政策法规、标准规范、教育宣传、科学研究等服务内容。</w:t>
      </w:r>
      <w:bookmarkStart w:id="48" w:name="_Toc54848661"/>
      <w:bookmarkStart w:id="49" w:name="_Hlk49169662"/>
      <w:bookmarkStart w:id="50" w:name="_Toc56465637"/>
    </w:p>
    <w:p>
      <w:pPr>
        <w:pageBreakBefore w:val="0"/>
        <w:numPr>
          <w:ilvl w:val="0"/>
          <w:numId w:val="0"/>
        </w:numPr>
        <w:kinsoku/>
        <w:wordWrap/>
        <w:overflowPunct/>
        <w:topLinePunct w:val="0"/>
        <w:bidi w:val="0"/>
        <w:adjustRightInd w:val="0"/>
        <w:snapToGrid w:val="0"/>
        <w:spacing w:line="360" w:lineRule="auto"/>
        <w:ind w:firstLine="666" w:firstLineChars="200"/>
        <w:textAlignment w:val="auto"/>
        <w:rPr>
          <w:rFonts w:hint="eastAsia" w:ascii="仿宋_GB2312" w:hAnsi="仿宋_GB2312" w:eastAsia="仿宋_GB2312" w:cs="仿宋_GB2312"/>
          <w:b/>
          <w:bCs/>
          <w:color w:val="auto"/>
          <w:spacing w:val="6"/>
          <w:kern w:val="0"/>
          <w:sz w:val="32"/>
          <w:szCs w:val="32"/>
          <w:lang w:val="en-US" w:eastAsia="zh-CN"/>
        </w:rPr>
      </w:pPr>
      <w:r>
        <w:rPr>
          <w:rFonts w:hint="eastAsia" w:ascii="仿宋_GB2312" w:hAnsi="仿宋_GB2312" w:eastAsia="仿宋_GB2312" w:cs="仿宋_GB2312"/>
          <w:b/>
          <w:bCs/>
          <w:color w:val="auto"/>
          <w:spacing w:val="6"/>
          <w:kern w:val="0"/>
          <w:sz w:val="32"/>
          <w:szCs w:val="32"/>
          <w:lang w:val="en-US" w:eastAsia="zh-CN"/>
        </w:rPr>
        <w:t>3、重点水利工程运行管理平台建设</w:t>
      </w:r>
      <w:bookmarkEnd w:id="48"/>
      <w:bookmarkEnd w:id="49"/>
      <w:bookmarkEnd w:id="50"/>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bookmarkStart w:id="51" w:name="_Hlk49169682"/>
      <w:r>
        <w:rPr>
          <w:rFonts w:hint="eastAsia" w:ascii="仿宋_GB2312" w:hAnsi="仿宋_GB2312" w:eastAsia="仿宋_GB2312" w:cs="仿宋_GB2312"/>
          <w:color w:val="auto"/>
          <w:spacing w:val="6"/>
          <w:kern w:val="0"/>
          <w:sz w:val="32"/>
          <w:szCs w:val="32"/>
        </w:rPr>
        <w:t>按照“市级部署，多级应用，特色业务定制开发的原则”，利用市级统一建设开发的系统，针对水库、流域、灌区、调水工程，匹配标准化运行管理平台。从水利工程管理目标、管理责任、安全评估、运行维护、监测检查、隐患治理、应急处置、教育培训、制度规范、生态环境、监督考核等全过程、各环节实行标准化控制和网络化管理，实行网上实时监控和现场实地监督检查相结合，切实了解掌握各类水利工程标准化管理动态。主要内容如下：</w:t>
      </w:r>
    </w:p>
    <w:bookmarkEnd w:id="51"/>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bookmarkStart w:id="52" w:name="_Toc54848662"/>
      <w:r>
        <w:rPr>
          <w:rFonts w:hint="eastAsia" w:ascii="仿宋_GB2312" w:hAnsi="仿宋_GB2312" w:eastAsia="仿宋_GB2312" w:cs="仿宋_GB2312"/>
          <w:color w:val="auto"/>
          <w:spacing w:val="6"/>
          <w:kern w:val="0"/>
          <w:sz w:val="32"/>
          <w:szCs w:val="32"/>
        </w:rPr>
        <w:t>（1）水库管理示范工程建设</w:t>
      </w:r>
      <w:bookmarkEnd w:id="52"/>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bookmarkStart w:id="53" w:name="_Toc54848663"/>
      <w:r>
        <w:rPr>
          <w:rFonts w:hint="eastAsia" w:ascii="仿宋_GB2312" w:hAnsi="仿宋_GB2312" w:eastAsia="仿宋_GB2312" w:cs="仿宋_GB2312"/>
          <w:color w:val="auto"/>
          <w:spacing w:val="6"/>
          <w:kern w:val="0"/>
          <w:sz w:val="32"/>
          <w:szCs w:val="32"/>
        </w:rPr>
        <w:t>建设水库工程信息化系统，构建全市统一的水库管理平台，各水库管理单位可进行定制开发。“十四五”期间开展尼山水库、西苇水库等6个大中型水库的示范化建设，具体内容模块包括综合地图，监测监控，工程检查，维修养护，调度运行，应急管理等。</w:t>
      </w:r>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（2）流域管理示范工程建设</w:t>
      </w:r>
      <w:bookmarkEnd w:id="53"/>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“十四五”期间对洙赵新河、梁济运河、泗河及其流域开展示范化建设，具体内容模块包括综合地图、基础设施建设、流域防洪调度等。</w:t>
      </w:r>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bookmarkStart w:id="54" w:name="_Toc54848664"/>
      <w:r>
        <w:rPr>
          <w:rFonts w:hint="eastAsia" w:ascii="仿宋_GB2312" w:hAnsi="仿宋_GB2312" w:eastAsia="仿宋_GB2312" w:cs="仿宋_GB2312"/>
          <w:color w:val="auto"/>
          <w:spacing w:val="6"/>
          <w:kern w:val="0"/>
          <w:sz w:val="32"/>
          <w:szCs w:val="32"/>
        </w:rPr>
        <w:t>（3）灌区管理示范工程建设</w:t>
      </w:r>
      <w:bookmarkEnd w:id="54"/>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“十四五”期间梁山县灌区开展示范化建设，具体内容模块包括综合地图，基础设施建设，灌区管理等。</w:t>
      </w:r>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bookmarkStart w:id="55" w:name="_Toc54848665"/>
      <w:r>
        <w:rPr>
          <w:rFonts w:hint="eastAsia" w:ascii="仿宋_GB2312" w:hAnsi="仿宋_GB2312" w:eastAsia="仿宋_GB2312" w:cs="仿宋_GB2312"/>
          <w:color w:val="auto"/>
          <w:spacing w:val="6"/>
          <w:kern w:val="0"/>
          <w:sz w:val="32"/>
          <w:szCs w:val="32"/>
        </w:rPr>
        <w:t>（4）农村饮水工程管理示范工程建设</w:t>
      </w:r>
      <w:bookmarkEnd w:id="55"/>
    </w:p>
    <w:p>
      <w:pPr>
        <w:pageBreakBefore w:val="0"/>
        <w:kinsoku/>
        <w:wordWrap/>
        <w:overflowPunct/>
        <w:topLinePunct w:val="0"/>
        <w:bidi w:val="0"/>
        <w:adjustRightInd w:val="0"/>
        <w:snapToGrid w:val="0"/>
        <w:spacing w:line="360" w:lineRule="auto"/>
        <w:ind w:firstLine="664" w:firstLineChars="200"/>
        <w:textAlignment w:val="auto"/>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“十四五”期间对3-5个县区开展农村饮水信息化工程示范建设。</w:t>
      </w:r>
      <w:bookmarkEnd w:id="34"/>
    </w:p>
    <w:p>
      <w:pPr>
        <w:pStyle w:val="2"/>
        <w:rPr>
          <w:rFonts w:hint="eastAsia" w:ascii="仿宋_GB2312" w:hAnsi="仿宋_GB2312" w:eastAsia="仿宋_GB2312" w:cs="仿宋_GB2312"/>
          <w:color w:val="auto"/>
          <w:spacing w:val="6"/>
          <w:kern w:val="0"/>
          <w:sz w:val="32"/>
          <w:szCs w:val="32"/>
        </w:rPr>
      </w:pPr>
    </w:p>
    <w:tbl>
      <w:tblPr>
        <w:tblStyle w:val="20"/>
        <w:tblpPr w:leftFromText="180" w:rightFromText="180" w:vertAnchor="text" w:horzAnchor="page" w:tblpX="1792" w:tblpY="-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spacing w:line="520" w:lineRule="exact"/>
              <w:contextualSpacing/>
              <w:jc w:val="center"/>
              <w:rPr>
                <w:rFonts w:hint="default" w:ascii="仿宋_GB2312" w:hAnsi="黑体" w:eastAsia="仿宋_GB2312" w:cs="Calibri"/>
                <w:color w:val="000000" w:themeColor="text1"/>
                <w:sz w:val="32"/>
                <w:szCs w:val="32"/>
                <w:lang w:val="en-US"/>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专栏</w:t>
            </w: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4</w:t>
            </w:r>
            <w:r>
              <w:rPr>
                <w:rFonts w:hint="eastAsia" w:ascii="仿宋_GB2312" w:hAnsi="仿宋_GB2312" w:eastAsia="仿宋_GB2312" w:cs="仿宋_GB2312"/>
                <w:b/>
                <w:bCs/>
                <w:color w:val="000000" w:themeColor="text1"/>
                <w:sz w:val="30"/>
                <w:szCs w:val="30"/>
                <w14:textFill>
                  <w14:solidFill>
                    <w14:schemeClr w14:val="tx1"/>
                  </w14:solidFill>
                </w14:textFill>
              </w:rPr>
              <w:t xml:space="preserve">  </w:t>
            </w: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水务信息化体系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outlineLvl w:val="9"/>
              <w:rPr>
                <w:rFonts w:hint="default" w:ascii="仿宋_GB2312" w:hAnsi="仿宋_GB2312" w:eastAsia="仿宋_GB2312" w:cs="仿宋_GB2312"/>
                <w:b w:val="0"/>
                <w:bCs w:val="0"/>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t>数字水利新型基础设施：</w:t>
            </w:r>
            <w:r>
              <w:rPr>
                <w:rFonts w:hint="eastAsia" w:ascii="仿宋_GB2312" w:hAnsi="仿宋_GB2312" w:eastAsia="仿宋_GB2312" w:cs="仿宋_GB2312"/>
                <w:b w:val="0"/>
                <w:bCs w:val="0"/>
                <w:color w:val="000000" w:themeColor="text1"/>
                <w:kern w:val="0"/>
                <w:sz w:val="24"/>
                <w:szCs w:val="24"/>
                <w:lang w:val="en-US" w:eastAsia="zh-CN" w:bidi="ar-SA"/>
                <w14:textFill>
                  <w14:solidFill>
                    <w14:schemeClr w14:val="tx1"/>
                  </w14:solidFill>
                </w14:textFill>
              </w:rPr>
              <w:t>建设济宁市市级感知网、县级感知网。</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textAlignment w:val="auto"/>
              <w:outlineLvl w:val="9"/>
              <w:rPr>
                <w:rFonts w:hint="default" w:ascii="仿宋_GB2312" w:hAnsi="仿宋_GB2312" w:eastAsia="仿宋_GB2312" w:cs="仿宋_GB2312"/>
                <w:b w:val="0"/>
                <w:bCs w:val="0"/>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t>水利一体化业务平台：</w:t>
            </w:r>
            <w:r>
              <w:rPr>
                <w:rFonts w:hint="eastAsia" w:ascii="仿宋_GB2312" w:hAnsi="仿宋_GB2312" w:eastAsia="仿宋_GB2312" w:cs="仿宋_GB2312"/>
                <w:b w:val="0"/>
                <w:bCs w:val="0"/>
                <w:color w:val="000000" w:themeColor="text1"/>
                <w:kern w:val="0"/>
                <w:sz w:val="24"/>
                <w:szCs w:val="24"/>
                <w:lang w:val="en-US" w:eastAsia="zh-CN" w:bidi="ar-SA"/>
                <w14:textFill>
                  <w14:solidFill>
                    <w14:schemeClr w14:val="tx1"/>
                  </w14:solidFill>
                </w14:textFill>
              </w:rPr>
              <w:t>建设济宁市、鱼台县、汶上县、嘉祥县、微山县、泗水县、金乡县、曲阜市等水利一体化业务应用平台。</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b w:val="0"/>
                <w:bCs w:val="0"/>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24"/>
                <w:szCs w:val="24"/>
                <w:lang w:val="en-US" w:eastAsia="zh-CN" w:bidi="ar-SA"/>
                <w14:textFill>
                  <w14:solidFill>
                    <w14:schemeClr w14:val="tx1"/>
                  </w14:solidFill>
                </w14:textFill>
              </w:rPr>
              <w:t>重点水利工程运行管理平台：实施</w:t>
            </w:r>
            <w:r>
              <w:rPr>
                <w:rFonts w:hint="eastAsia" w:ascii="仿宋_GB2312" w:hAnsi="仿宋_GB2312" w:eastAsia="仿宋_GB2312" w:cs="仿宋_GB2312"/>
                <w:b w:val="0"/>
                <w:bCs w:val="0"/>
                <w:color w:val="000000" w:themeColor="text1"/>
                <w:kern w:val="0"/>
                <w:sz w:val="24"/>
                <w:szCs w:val="24"/>
                <w:lang w:val="en-US" w:eastAsia="zh-CN" w:bidi="ar-SA"/>
                <w14:textFill>
                  <w14:solidFill>
                    <w14:schemeClr w14:val="tx1"/>
                  </w14:solidFill>
                </w14:textFill>
              </w:rPr>
              <w:t>尼山水库、西苇水库、贺庄水库、华村水库、龙湾套水库、尹城水库管理示范工程建设；洙赵新河、梁济运河、泗河流域管理示范工程建设；梁山县引黄灌区管理示范工程建设；农村饮水工程管理示范工程建设。</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color w:val="000000" w:themeColor="text1"/>
                <w:spacing w:val="6"/>
                <w:kern w:val="0"/>
                <w:sz w:val="32"/>
                <w:szCs w:val="32"/>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_GB2312" w:hAnsi="仿宋_GB2312" w:eastAsia="仿宋_GB2312" w:cs="仿宋_GB2312"/>
                <w:b w:val="0"/>
                <w:bCs w:val="0"/>
                <w:color w:val="000000" w:themeColor="text1"/>
                <w:kern w:val="0"/>
                <w:sz w:val="24"/>
                <w:szCs w:val="24"/>
                <w:lang w:val="en-US" w:eastAsia="zh-CN"/>
                <w14:textFill>
                  <w14:solidFill>
                    <w14:schemeClr w14:val="tx1"/>
                  </w14:solidFill>
                </w14:textFill>
              </w:rPr>
            </w:pPr>
          </w:p>
        </w:tc>
      </w:tr>
    </w:tbl>
    <w:p>
      <w:pPr>
        <w:pStyle w:val="2"/>
        <w:rPr>
          <w:rFonts w:hint="eastAsia" w:ascii="仿宋_GB2312" w:hAnsi="仿宋_GB2312" w:eastAsia="仿宋_GB2312" w:cs="仿宋_GB2312"/>
          <w:color w:val="auto"/>
          <w:spacing w:val="6"/>
          <w:kern w:val="0"/>
          <w:sz w:val="32"/>
          <w:szCs w:val="32"/>
        </w:rPr>
      </w:pPr>
    </w:p>
    <w:p>
      <w:pPr>
        <w:pStyle w:val="2"/>
        <w:rPr>
          <w:rFonts w:hint="eastAsia" w:ascii="仿宋_GB2312" w:hAnsi="仿宋_GB2312" w:eastAsia="仿宋_GB2312" w:cs="仿宋_GB2312"/>
          <w:color w:val="auto"/>
          <w:spacing w:val="6"/>
          <w:kern w:val="0"/>
          <w:sz w:val="32"/>
          <w:szCs w:val="32"/>
        </w:rPr>
      </w:pPr>
    </w:p>
    <w:p>
      <w:pPr>
        <w:pStyle w:val="2"/>
        <w:rPr>
          <w:rFonts w:hint="eastAsia" w:ascii="仿宋_GB2312" w:hAnsi="仿宋_GB2312" w:eastAsia="仿宋_GB2312" w:cs="仿宋_GB2312"/>
          <w:color w:val="auto"/>
          <w:spacing w:val="6"/>
          <w:kern w:val="0"/>
          <w:sz w:val="32"/>
          <w:szCs w:val="32"/>
        </w:rPr>
      </w:pPr>
    </w:p>
    <w:p>
      <w:pPr>
        <w:pStyle w:val="2"/>
        <w:rPr>
          <w:rFonts w:hint="eastAsia" w:ascii="仿宋_GB2312" w:hAnsi="仿宋_GB2312" w:eastAsia="仿宋_GB2312" w:cs="仿宋_GB2312"/>
          <w:color w:val="auto"/>
          <w:spacing w:val="6"/>
          <w:kern w:val="0"/>
          <w:sz w:val="32"/>
          <w:szCs w:val="32"/>
        </w:rPr>
      </w:pPr>
    </w:p>
    <w:p>
      <w:pPr>
        <w:pStyle w:val="2"/>
        <w:rPr>
          <w:rFonts w:hint="eastAsia" w:ascii="仿宋_GB2312" w:hAnsi="仿宋_GB2312" w:eastAsia="仿宋_GB2312" w:cs="仿宋_GB2312"/>
          <w:color w:val="auto"/>
          <w:spacing w:val="6"/>
          <w:kern w:val="0"/>
          <w:sz w:val="32"/>
          <w:szCs w:val="32"/>
        </w:rPr>
      </w:pPr>
    </w:p>
    <w:p>
      <w:pPr>
        <w:pStyle w:val="2"/>
        <w:rPr>
          <w:rFonts w:hint="eastAsia" w:ascii="仿宋_GB2312" w:hAnsi="仿宋_GB2312" w:eastAsia="仿宋_GB2312" w:cs="仿宋_GB2312"/>
          <w:color w:val="auto"/>
          <w:spacing w:val="6"/>
          <w:kern w:val="0"/>
          <w:sz w:val="32"/>
          <w:szCs w:val="32"/>
        </w:rPr>
      </w:pPr>
    </w:p>
    <w:p>
      <w:pPr>
        <w:pStyle w:val="2"/>
        <w:rPr>
          <w:rFonts w:hint="eastAsia" w:ascii="仿宋_GB2312" w:hAnsi="仿宋_GB2312" w:eastAsia="仿宋_GB2312" w:cs="仿宋_GB2312"/>
          <w:color w:val="auto"/>
          <w:spacing w:val="6"/>
          <w:kern w:val="0"/>
          <w:sz w:val="32"/>
          <w:szCs w:val="32"/>
        </w:rPr>
      </w:pPr>
    </w:p>
    <w:p>
      <w:pPr>
        <w:pStyle w:val="2"/>
        <w:rPr>
          <w:rFonts w:hint="eastAsia" w:ascii="仿宋_GB2312" w:hAnsi="仿宋_GB2312" w:eastAsia="仿宋_GB2312" w:cs="仿宋_GB2312"/>
          <w:color w:val="auto"/>
          <w:spacing w:val="6"/>
          <w:kern w:val="0"/>
          <w:sz w:val="32"/>
          <w:szCs w:val="32"/>
        </w:rPr>
      </w:pPr>
    </w:p>
    <w:p>
      <w:pPr>
        <w:pStyle w:val="2"/>
        <w:rPr>
          <w:rFonts w:hint="eastAsia" w:ascii="仿宋_GB2312" w:hAnsi="仿宋_GB2312" w:eastAsia="仿宋_GB2312" w:cs="仿宋_GB2312"/>
          <w:color w:val="auto"/>
          <w:spacing w:val="6"/>
          <w:kern w:val="0"/>
          <w:sz w:val="32"/>
          <w:szCs w:val="32"/>
        </w:rPr>
      </w:pPr>
    </w:p>
    <w:p>
      <w:pPr>
        <w:rPr>
          <w:rFonts w:hint="eastAsia" w:ascii="仿宋" w:hAnsi="仿宋" w:eastAsia="仿宋" w:cs="仿宋"/>
          <w:color w:val="000000" w:themeColor="text1"/>
          <w:spacing w:val="6"/>
          <w:kern w:val="0"/>
          <w:sz w:val="28"/>
          <w:szCs w:val="28"/>
          <w14:textFill>
            <w14:solidFill>
              <w14:schemeClr w14:val="tx1"/>
            </w14:solidFill>
          </w14:textFill>
        </w:rPr>
      </w:pPr>
      <w:r>
        <w:rPr>
          <w:rFonts w:hint="eastAsia" w:ascii="仿宋" w:hAnsi="仿宋" w:eastAsia="仿宋" w:cs="仿宋"/>
          <w:color w:val="000000" w:themeColor="text1"/>
          <w:spacing w:val="6"/>
          <w:kern w:val="0"/>
          <w:sz w:val="28"/>
          <w:szCs w:val="28"/>
          <w14:textFill>
            <w14:solidFill>
              <w14:schemeClr w14:val="tx1"/>
            </w14:solidFill>
          </w14:textFill>
        </w:rPr>
        <w:br w:type="page"/>
      </w:r>
    </w:p>
    <w:p>
      <w:pPr>
        <w:pStyle w:val="4"/>
        <w:keepNext/>
        <w:keepLines/>
        <w:pageBreakBefore w:val="0"/>
        <w:widowControl w:val="0"/>
        <w:kinsoku/>
        <w:wordWrap/>
        <w:overflowPunct/>
        <w:topLinePunct w:val="0"/>
        <w:autoSpaceDE/>
        <w:autoSpaceDN/>
        <w:bidi w:val="0"/>
        <w:adjustRightInd w:val="0"/>
        <w:snapToGrid w:val="0"/>
        <w:spacing w:beforeLines="100" w:after="313" w:afterLines="100" w:line="360" w:lineRule="auto"/>
        <w:jc w:val="center"/>
        <w:textAlignment w:val="auto"/>
        <w:rPr>
          <w:rFonts w:hint="eastAsia" w:ascii="黑体" w:hAnsi="黑体" w:eastAsia="黑体" w:cs="Times New Roman"/>
          <w:b w:val="0"/>
          <w:bCs w:val="0"/>
          <w:color w:val="auto"/>
          <w:kern w:val="2"/>
          <w:sz w:val="32"/>
          <w:szCs w:val="32"/>
        </w:rPr>
      </w:pPr>
      <w:bookmarkStart w:id="56" w:name="_Toc6629"/>
      <w:r>
        <w:rPr>
          <w:rFonts w:hint="eastAsia" w:ascii="黑体" w:hAnsi="黑体" w:eastAsia="黑体" w:cs="Times New Roman"/>
          <w:b w:val="0"/>
          <w:bCs w:val="0"/>
          <w:color w:val="auto"/>
          <w:kern w:val="2"/>
          <w:sz w:val="32"/>
          <w:szCs w:val="32"/>
        </w:rPr>
        <w:t>四、建立高效的水务管理体系</w:t>
      </w:r>
      <w:bookmarkEnd w:id="56"/>
    </w:p>
    <w:p>
      <w:pPr>
        <w:pageBreakBefore w:val="0"/>
        <w:kinsoku/>
        <w:wordWrap/>
        <w:overflowPunct/>
        <w:topLinePunct w:val="0"/>
        <w:bidi w:val="0"/>
        <w:adjustRightInd w:val="0"/>
        <w:snapToGrid w:val="0"/>
        <w:spacing w:line="36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健全以重点领域监管为基础，以监管过程中随机抽取检查对象、随机选派执法检查人员、抽查情况及查处结果及时向社会公开的</w:t>
      </w:r>
      <w:r>
        <w:rPr>
          <w:rFonts w:hint="eastAsia" w:ascii="仿宋_GB2312" w:hAnsi="仿宋_GB2312" w:eastAsia="仿宋_GB2312" w:cs="仿宋_GB2312"/>
          <w:color w:val="auto"/>
          <w:sz w:val="32"/>
          <w:szCs w:val="32"/>
          <w:lang w:val="zh-CN"/>
        </w:rPr>
        <w:t>“双</w:t>
      </w:r>
      <w:r>
        <w:rPr>
          <w:rFonts w:hint="eastAsia" w:ascii="仿宋_GB2312" w:hAnsi="仿宋_GB2312" w:eastAsia="仿宋_GB2312" w:cs="仿宋_GB2312"/>
          <w:color w:val="auto"/>
          <w:sz w:val="32"/>
          <w:szCs w:val="32"/>
        </w:rPr>
        <w:t>随机、一公开”监管为手段，以信用监管为支撑的新型监管机制。创新监管方式，加快推进</w:t>
      </w:r>
      <w:r>
        <w:rPr>
          <w:rFonts w:hint="eastAsia" w:ascii="仿宋_GB2312" w:hAnsi="仿宋_GB2312" w:eastAsia="仿宋_GB2312" w:cs="仿宋_GB2312"/>
          <w:color w:val="auto"/>
          <w:sz w:val="32"/>
          <w:szCs w:val="32"/>
          <w:lang w:val="zh-CN"/>
        </w:rPr>
        <w:t>“互</w:t>
      </w:r>
      <w:r>
        <w:rPr>
          <w:rFonts w:hint="eastAsia" w:ascii="仿宋_GB2312" w:hAnsi="仿宋_GB2312" w:eastAsia="仿宋_GB2312" w:cs="仿宋_GB2312"/>
          <w:color w:val="auto"/>
          <w:sz w:val="32"/>
          <w:szCs w:val="32"/>
        </w:rPr>
        <w:t>联网+监管”，建立健全事中事后监管制度。以问题为导向，以整改为目标，以问责为抓手，从法制、体制、机制入手，健全监管体系，加强涉水事务监管，实现制度治水、制度管水。</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57" w:name="bookmark73"/>
      <w:bookmarkStart w:id="58" w:name="_Toc21227"/>
      <w:r>
        <w:rPr>
          <w:rFonts w:hint="eastAsia" w:ascii="楷体" w:hAnsi="楷体" w:eastAsia="楷体" w:cs="仿宋_GB2312"/>
          <w:color w:val="auto"/>
        </w:rPr>
        <w:t>（</w:t>
      </w:r>
      <w:bookmarkEnd w:id="57"/>
      <w:r>
        <w:rPr>
          <w:rFonts w:hint="eastAsia" w:ascii="楷体" w:hAnsi="楷体" w:eastAsia="楷体" w:cs="仿宋_GB2312"/>
          <w:color w:val="auto"/>
        </w:rPr>
        <w:t>一）强化水资源监管，促进水资源节约集约利用</w:t>
      </w:r>
      <w:bookmarkEnd w:id="58"/>
    </w:p>
    <w:p>
      <w:pPr>
        <w:pStyle w:val="33"/>
        <w:pageBreakBefore w:val="0"/>
        <w:kinsoku/>
        <w:wordWrap/>
        <w:overflowPunct/>
        <w:topLinePunct w:val="0"/>
        <w:bidi w:val="0"/>
        <w:adjustRightInd w:val="0"/>
        <w:snapToGrid w:val="0"/>
        <w:spacing w:line="360" w:lineRule="auto"/>
        <w:ind w:firstLine="640" w:firstLineChars="200"/>
        <w:textAlignment w:val="auto"/>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建立水资源刚性约束制度，按照以水定需原则，体现水资源管理</w:t>
      </w:r>
      <w:r>
        <w:rPr>
          <w:rFonts w:hint="eastAsia" w:ascii="仿宋_GB2312" w:hAnsi="仿宋_GB2312" w:eastAsia="仿宋_GB2312" w:cs="仿宋_GB2312"/>
          <w:color w:val="auto"/>
          <w:sz w:val="32"/>
          <w:szCs w:val="32"/>
          <w:lang w:val="zh-CN" w:eastAsia="zh-CN" w:bidi="ar-SA"/>
        </w:rPr>
        <w:t>“最</w:t>
      </w:r>
      <w:r>
        <w:rPr>
          <w:rFonts w:hint="eastAsia" w:ascii="仿宋_GB2312" w:hAnsi="仿宋_GB2312" w:eastAsia="仿宋_GB2312" w:cs="仿宋_GB2312"/>
          <w:color w:val="auto"/>
          <w:sz w:val="32"/>
          <w:szCs w:val="32"/>
          <w:lang w:val="en-US" w:eastAsia="zh-CN" w:bidi="ar-SA"/>
        </w:rPr>
        <w:t>严格”要求，全面监管水资源节约、开发、利用、保护、配置、调度等各环节。强力推进国家节水行动，严格实施规划和建设项目节水评价制度。加快节水法规制度建设步伐，尽快建立节水激励机制，完善节水考核指标体系，形成科学合理的监督考核机制，进一步强化节水标准与用水定额管理。加强水文水资源监测，整治水资源过度开发、无序开发、低水平开发等现象。加强取水许可事中事后监管，实现用水全过程监督管理，引导和推动合同节水管理，提高水资源集约安全利用水平。紧紧依靠宣传主管部门、行业职能部门、工青妇等群团组织和广大新闻媒体，深化节水宣传教育，全面增强全社会节水意识。</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59" w:name="bookmark74"/>
      <w:bookmarkStart w:id="60" w:name="_Toc27995"/>
      <w:r>
        <w:rPr>
          <w:rFonts w:hint="eastAsia" w:ascii="楷体" w:hAnsi="楷体" w:eastAsia="楷体" w:cs="仿宋_GB2312"/>
          <w:color w:val="auto"/>
        </w:rPr>
        <w:t>（</w:t>
      </w:r>
      <w:bookmarkEnd w:id="59"/>
      <w:r>
        <w:rPr>
          <w:rFonts w:hint="eastAsia" w:ascii="楷体" w:hAnsi="楷体" w:eastAsia="楷体" w:cs="仿宋_GB2312"/>
          <w:color w:val="auto"/>
        </w:rPr>
        <w:t>二）强化河流湖泊监管，持续改善河湖生态环境</w:t>
      </w:r>
      <w:bookmarkEnd w:id="60"/>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以建设</w:t>
      </w:r>
      <w:r>
        <w:rPr>
          <w:rFonts w:hint="eastAsia" w:ascii="仿宋_GB2312" w:hAnsi="仿宋_GB2312" w:eastAsia="仿宋_GB2312" w:cs="仿宋_GB2312"/>
          <w:color w:val="auto"/>
          <w:sz w:val="32"/>
          <w:szCs w:val="32"/>
          <w:lang w:val="zh-CN" w:eastAsia="zh-CN" w:bidi="ar-SA"/>
        </w:rPr>
        <w:t>“美</w:t>
      </w:r>
      <w:r>
        <w:rPr>
          <w:rFonts w:hint="eastAsia" w:ascii="仿宋_GB2312" w:hAnsi="仿宋_GB2312" w:eastAsia="仿宋_GB2312" w:cs="仿宋_GB2312"/>
          <w:color w:val="auto"/>
          <w:sz w:val="32"/>
          <w:szCs w:val="32"/>
          <w:lang w:val="en-US" w:eastAsia="zh-CN" w:bidi="ar-SA"/>
        </w:rPr>
        <w:t>丽幸福河湖”为目标，深入推进河长制湖长制建设，</w:t>
      </w:r>
      <w:r>
        <w:rPr>
          <w:rFonts w:ascii="仿宋_GB2312" w:hAnsi="仿宋_GB2312" w:eastAsia="仿宋_GB2312" w:cs="仿宋_GB2312"/>
          <w:color w:val="auto"/>
          <w:sz w:val="32"/>
          <w:szCs w:val="32"/>
          <w:lang w:val="en-US" w:eastAsia="zh-CN" w:bidi="ar-SA"/>
        </w:rPr>
        <w:t>坚持问题导向，明察暗访、闭环管理、动态清零。</w:t>
      </w:r>
      <w:r>
        <w:rPr>
          <w:rFonts w:hint="eastAsia" w:ascii="仿宋_GB2312" w:hAnsi="仿宋_GB2312" w:eastAsia="仿宋_GB2312" w:cs="仿宋_GB2312"/>
          <w:color w:val="auto"/>
          <w:sz w:val="32"/>
          <w:szCs w:val="32"/>
          <w:lang w:val="en-US" w:eastAsia="zh-CN" w:bidi="ar-SA"/>
        </w:rPr>
        <w:t>落实各级河湖长主体责任，发挥部门协同作用，推动河长制湖长制“有名”</w:t>
      </w:r>
      <w:r>
        <w:rPr>
          <w:rFonts w:hint="eastAsia" w:ascii="仿宋_GB2312" w:hAnsi="仿宋_GB2312" w:eastAsia="仿宋_GB2312" w:cs="仿宋_GB2312"/>
          <w:color w:val="auto"/>
          <w:sz w:val="32"/>
          <w:szCs w:val="32"/>
          <w:lang w:val="zh-CN" w:eastAsia="zh-CN" w:bidi="ar-SA"/>
        </w:rPr>
        <w:t>“有实”“有</w:t>
      </w:r>
      <w:r>
        <w:rPr>
          <w:rFonts w:hint="eastAsia" w:ascii="仿宋_GB2312" w:hAnsi="仿宋_GB2312" w:eastAsia="仿宋_GB2312" w:cs="仿宋_GB2312"/>
          <w:color w:val="auto"/>
          <w:sz w:val="32"/>
          <w:szCs w:val="32"/>
          <w:lang w:val="en-US" w:eastAsia="zh-CN" w:bidi="ar-SA"/>
        </w:rPr>
        <w:t>能”</w:t>
      </w:r>
      <w:r>
        <w:rPr>
          <w:rFonts w:hint="eastAsia" w:ascii="仿宋_GB2312" w:hAnsi="仿宋_GB2312" w:eastAsia="仿宋_GB2312" w:cs="仿宋_GB2312"/>
          <w:color w:val="auto"/>
          <w:sz w:val="32"/>
          <w:szCs w:val="32"/>
          <w:lang w:val="zh-CN" w:eastAsia="zh-CN" w:bidi="ar-SA"/>
        </w:rPr>
        <w:t>“有</w:t>
      </w:r>
      <w:r>
        <w:rPr>
          <w:rFonts w:hint="eastAsia" w:ascii="仿宋_GB2312" w:hAnsi="仿宋_GB2312" w:eastAsia="仿宋_GB2312" w:cs="仿宋_GB2312"/>
          <w:color w:val="auto"/>
          <w:sz w:val="32"/>
          <w:szCs w:val="32"/>
          <w:lang w:val="en-US" w:eastAsia="zh-CN" w:bidi="ar-SA"/>
        </w:rPr>
        <w:t>为”。综合利用人工、卫星遥感影像和无人机等手段采用定期和不定期相结合方式，动态监测河湖水域岸线空间变化，强化水域、岸线空间管控与保护。通过部门、流域和区域联防联控，共保共治，加大对河流湖泊的监管力度，维护河湖健康生命。加快确定重点河湖生态流量，强化河湖生态流量管控。加快河湖重要控制断面监测站点建设，将生态流量监测纳入水资源监控体系，建立重要河湖生态流量监测预警和信息发布机制。</w:t>
      </w:r>
    </w:p>
    <w:p>
      <w:pPr>
        <w:pStyle w:val="33"/>
        <w:pageBreakBefore w:val="0"/>
        <w:kinsoku/>
        <w:wordWrap/>
        <w:overflowPunct/>
        <w:topLinePunct w:val="0"/>
        <w:bidi w:val="0"/>
        <w:adjustRightInd w:val="0"/>
        <w:snapToGrid w:val="0"/>
        <w:spacing w:line="360" w:lineRule="auto"/>
        <w:ind w:firstLine="640" w:firstLineChars="200"/>
        <w:textAlignment w:val="auto"/>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kern w:val="0"/>
          <w:sz w:val="32"/>
          <w:szCs w:val="32"/>
        </w:rPr>
        <w:t>加大对南四湖53条入湖河道的管理力度，与生态环境部门加强对接，配合市生态环境局在入湖断面安装水质监测设施，及时了解入湖水质情况；对超标断面，协助生态环境局</w:t>
      </w:r>
      <w:r>
        <w:rPr>
          <w:rFonts w:hint="eastAsia" w:ascii="仿宋_GB2312" w:hAnsi="仿宋_GB2312" w:eastAsia="仿宋_GB2312" w:cs="仿宋_GB2312"/>
          <w:color w:val="auto"/>
          <w:kern w:val="0"/>
          <w:sz w:val="32"/>
          <w:szCs w:val="32"/>
          <w:lang w:val="en-US" w:eastAsia="zh-CN"/>
        </w:rPr>
        <w:t>等相关部门</w:t>
      </w:r>
      <w:r>
        <w:rPr>
          <w:rFonts w:hint="eastAsia" w:ascii="仿宋_GB2312" w:hAnsi="仿宋_GB2312" w:eastAsia="仿宋_GB2312" w:cs="仿宋_GB2312"/>
          <w:color w:val="auto"/>
          <w:kern w:val="0"/>
          <w:sz w:val="32"/>
          <w:szCs w:val="32"/>
        </w:rPr>
        <w:t>做好水质达标工作。市河长办将问题线索反馈给县乡村三级河长，督促河长带着问题加强巡河，尤其加强入河排污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水</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口检查，对私设排污口、超排放标准、超排放量的排放行为，及时与排污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水</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口行政主管部门进行沟通，责成有关单位进行整治，确保水质稳定达标。河长制向坑塘、沟渠延伸，以河道为依托，对河道流域范围内的坑塘、沟渠进行流域化管理，由河长对该河道流域内的坑塘、沟渠负责；以市直大中型河道管理单位为依托实行流域化监管，对流域内的一级支流、二级支流及其他坑塘、沟渠进行监管，将问题及时反馈至所在县市区，实行问题发现、反馈、整改、销号闭环管理，做到所有河道有人管。鼓励各县市区以政府购买服务的方式落实管护经费和人员，确保河湖沟渠有人管。</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61" w:name="bookmark75"/>
      <w:bookmarkStart w:id="62" w:name="_Toc5172"/>
      <w:r>
        <w:rPr>
          <w:rFonts w:hint="eastAsia" w:ascii="楷体" w:hAnsi="楷体" w:eastAsia="楷体" w:cs="仿宋_GB2312"/>
          <w:color w:val="auto"/>
        </w:rPr>
        <w:t>（</w:t>
      </w:r>
      <w:bookmarkEnd w:id="61"/>
      <w:r>
        <w:rPr>
          <w:rFonts w:hint="eastAsia" w:ascii="楷体" w:hAnsi="楷体" w:eastAsia="楷体" w:cs="仿宋_GB2312"/>
          <w:color w:val="auto"/>
        </w:rPr>
        <w:t>三）强化水利工程监管，充分发挥工程综合效益</w:t>
      </w:r>
      <w:bookmarkEnd w:id="62"/>
    </w:p>
    <w:p>
      <w:pPr>
        <w:pageBreakBefore w:val="0"/>
        <w:kinsoku/>
        <w:wordWrap/>
        <w:overflowPunct/>
        <w:topLinePunct w:val="0"/>
        <w:bidi w:val="0"/>
        <w:adjustRightInd w:val="0"/>
        <w:snapToGrid w:val="0"/>
        <w:spacing w:line="36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抓好水利工程建设监管，压实项目法人、参建各方和项目主管部门责任。</w:t>
      </w:r>
      <w:r>
        <w:rPr>
          <w:rFonts w:hint="eastAsia" w:ascii="仿宋_GB2312" w:hAnsi="仿宋_GB2312" w:eastAsia="仿宋_GB2312" w:cs="仿宋_GB2312"/>
          <w:bCs/>
          <w:color w:val="auto"/>
          <w:sz w:val="32"/>
          <w:szCs w:val="32"/>
        </w:rPr>
        <w:t>强化水利工程质量与安全监管，</w:t>
      </w:r>
      <w:r>
        <w:rPr>
          <w:rFonts w:hint="eastAsia" w:ascii="仿宋_GB2312" w:hAnsi="仿宋_GB2312" w:eastAsia="仿宋_GB2312" w:cs="仿宋_GB2312"/>
          <w:color w:val="auto"/>
          <w:sz w:val="32"/>
          <w:szCs w:val="32"/>
        </w:rPr>
        <w:t>以安全生产标准化和双重预防体系建设为抓手，实现安全生产关口前移、重心下移，切实加强质量与安全事中事后监管，开展安全生产执法处罚，提高水利安全生产监管科学化水平。进一步厘清质量与安全监督事权与职责，明确水行政主管部门与质量与安全监督承担单位的职责分工，实现质量与安全监督检查全覆盖，构建质量与安全监督管理长效机制，全面提升工程建设质量和安全水平。</w:t>
      </w:r>
      <w:r>
        <w:rPr>
          <w:rFonts w:hint="eastAsia" w:ascii="仿宋_GB2312" w:hAnsi="仿宋_GB2312" w:eastAsia="仿宋_GB2312" w:cs="仿宋_GB2312"/>
          <w:bCs/>
          <w:color w:val="auto"/>
          <w:sz w:val="32"/>
          <w:szCs w:val="32"/>
        </w:rPr>
        <w:t>强化水务资金监督管理。</w:t>
      </w:r>
      <w:r>
        <w:rPr>
          <w:rFonts w:hint="eastAsia" w:ascii="仿宋_GB2312" w:hAnsi="仿宋_GB2312" w:eastAsia="仿宋_GB2312" w:cs="仿宋_GB2312"/>
          <w:color w:val="auto"/>
          <w:sz w:val="32"/>
          <w:szCs w:val="32"/>
        </w:rPr>
        <w:t>从制度建设、预算管理、监督检查、廉政风险防控等各个方面，切实采取有效措施，全面加强水务资金使用监督管理。逐步形成完备的水务资金管理制度体系，将各级财政安排的水务资金全部纳入监督管理范围，建立健全廉政风险防控管理机制。建立多元化监督体系，实现水务资金运行管理全过程监督，有效防范和化解水利资金分配、使用、管理的廉政风险。</w:t>
      </w:r>
      <w:r>
        <w:rPr>
          <w:rFonts w:hint="eastAsia" w:ascii="仿宋_GB2312" w:hAnsi="仿宋_GB2312" w:eastAsia="仿宋_GB2312" w:cs="仿宋_GB2312"/>
          <w:bCs/>
          <w:color w:val="auto"/>
          <w:sz w:val="32"/>
          <w:szCs w:val="32"/>
        </w:rPr>
        <w:t>健全水利市场监管机制，</w:t>
      </w:r>
      <w:r>
        <w:rPr>
          <w:rFonts w:hint="eastAsia" w:ascii="仿宋_GB2312" w:hAnsi="仿宋_GB2312" w:eastAsia="仿宋_GB2312" w:cs="仿宋_GB2312"/>
          <w:color w:val="auto"/>
          <w:sz w:val="32"/>
          <w:szCs w:val="32"/>
        </w:rPr>
        <w:t>推行</w:t>
      </w:r>
      <w:r>
        <w:rPr>
          <w:rFonts w:hint="eastAsia" w:ascii="仿宋_GB2312" w:hAnsi="仿宋_GB2312" w:eastAsia="仿宋_GB2312" w:cs="仿宋_GB2312"/>
          <w:color w:val="auto"/>
          <w:sz w:val="32"/>
          <w:szCs w:val="32"/>
          <w:lang w:val="zh-CN"/>
        </w:rPr>
        <w:t>“双</w:t>
      </w:r>
      <w:r>
        <w:rPr>
          <w:rFonts w:hint="eastAsia" w:ascii="仿宋_GB2312" w:hAnsi="仿宋_GB2312" w:eastAsia="仿宋_GB2312" w:cs="仿宋_GB2312"/>
          <w:color w:val="auto"/>
          <w:sz w:val="32"/>
          <w:szCs w:val="32"/>
        </w:rPr>
        <w:t>随机、一公开”动态化监管模式，引导水利建设市场良性发展。</w:t>
      </w:r>
      <w:r>
        <w:rPr>
          <w:rFonts w:hint="eastAsia" w:ascii="仿宋_GB2312" w:hAnsi="仿宋_GB2312" w:eastAsia="仿宋_GB2312" w:cs="仿宋_GB2312"/>
          <w:bCs/>
          <w:color w:val="auto"/>
          <w:sz w:val="32"/>
          <w:szCs w:val="32"/>
        </w:rPr>
        <w:t>以水利工程标准化管理为抓手</w:t>
      </w:r>
      <w:r>
        <w:rPr>
          <w:rFonts w:hint="eastAsia" w:ascii="仿宋_GB2312" w:hAnsi="仿宋_GB2312" w:eastAsia="仿宋_GB2312" w:cs="仿宋_GB2312"/>
          <w:color w:val="auto"/>
          <w:sz w:val="32"/>
          <w:szCs w:val="32"/>
        </w:rPr>
        <w:t>，完善水利工程运行管理制度和技术标准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落实水利工程运行管护主体和责任，全面加强水利工程维修养护、巡查检查、安全管理等工作。以点多面广的中小水库、农村饮水等工程为重点，加大对工程安全规范运行的监管。</w:t>
      </w:r>
      <w:r>
        <w:rPr>
          <w:rFonts w:hint="eastAsia" w:ascii="仿宋_GB2312" w:hAnsi="仿宋_GB2312" w:eastAsia="仿宋_GB2312" w:cs="仿宋_GB2312"/>
          <w:bCs/>
          <w:color w:val="auto"/>
          <w:sz w:val="32"/>
          <w:szCs w:val="32"/>
        </w:rPr>
        <w:t>强化城乡供水运行管理</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全面落实“三个责任”“三项制度”</w:t>
      </w:r>
      <w:r>
        <w:rPr>
          <w:rFonts w:hint="eastAsia" w:ascii="仿宋_GB2312" w:hAnsi="仿宋_GB2312" w:eastAsia="仿宋_GB2312" w:cs="仿宋_GB2312"/>
          <w:color w:val="auto"/>
          <w:sz w:val="32"/>
          <w:szCs w:val="32"/>
        </w:rPr>
        <w:t>，加强水质监管，提升服务水平，</w:t>
      </w:r>
      <w:r>
        <w:rPr>
          <w:rFonts w:ascii="仿宋_GB2312" w:hAnsi="仿宋_GB2312" w:eastAsia="仿宋_GB2312" w:cs="仿宋_GB2312"/>
          <w:color w:val="auto"/>
          <w:sz w:val="32"/>
          <w:szCs w:val="32"/>
        </w:rPr>
        <w:t>保障供水安全</w:t>
      </w:r>
      <w:r>
        <w:rPr>
          <w:rFonts w:hint="eastAsia" w:ascii="仿宋_GB2312" w:hAnsi="仿宋_GB2312" w:eastAsia="仿宋_GB2312" w:cs="仿宋_GB2312"/>
          <w:color w:val="auto"/>
          <w:sz w:val="32"/>
          <w:szCs w:val="32"/>
        </w:rPr>
        <w:t>。</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63" w:name="bookmark76"/>
      <w:bookmarkStart w:id="64" w:name="_Toc10524"/>
      <w:r>
        <w:rPr>
          <w:rFonts w:hint="eastAsia" w:ascii="楷体" w:hAnsi="楷体" w:eastAsia="楷体" w:cs="仿宋_GB2312"/>
          <w:color w:val="auto"/>
        </w:rPr>
        <w:t>（</w:t>
      </w:r>
      <w:bookmarkEnd w:id="63"/>
      <w:r>
        <w:rPr>
          <w:rFonts w:hint="eastAsia" w:ascii="楷体" w:hAnsi="楷体" w:eastAsia="楷体" w:cs="仿宋_GB2312"/>
          <w:color w:val="auto"/>
        </w:rPr>
        <w:t>四）强化水土保持监管，有效遏制人为水土流失</w:t>
      </w:r>
      <w:bookmarkEnd w:id="64"/>
    </w:p>
    <w:p>
      <w:pPr>
        <w:pageBreakBefore w:val="0"/>
        <w:kinsoku/>
        <w:wordWrap/>
        <w:overflowPunct/>
        <w:topLinePunct w:val="0"/>
        <w:bidi w:val="0"/>
        <w:adjustRightInd w:val="0"/>
        <w:snapToGrid w:val="0"/>
        <w:spacing w:line="36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强化水土保持预防监督，落实地方人民政府水土保持目标责任制、考核制度和水土保持“三同时”制度，完善水土保持生态补偿制度，</w:t>
      </w:r>
      <w:r>
        <w:rPr>
          <w:rFonts w:hint="eastAsia" w:ascii="仿宋" w:hAnsi="仿宋" w:eastAsia="仿宋" w:cs="仿宋"/>
          <w:b w:val="0"/>
          <w:bCs w:val="0"/>
          <w:color w:val="auto"/>
          <w:sz w:val="32"/>
          <w:szCs w:val="32"/>
          <w:highlight w:val="none"/>
          <w:lang w:val="en-US" w:eastAsia="zh-CN"/>
        </w:rPr>
        <w:t>从严防控生产建设活动造成的人为水土流失</w:t>
      </w:r>
      <w:r>
        <w:rPr>
          <w:rFonts w:hint="eastAsia" w:ascii="仿宋_GB2312" w:hAnsi="仿宋_GB2312" w:eastAsia="仿宋_GB2312" w:cs="仿宋_GB2312"/>
          <w:color w:val="auto"/>
          <w:sz w:val="32"/>
          <w:szCs w:val="32"/>
        </w:rPr>
        <w:t>，全面监管水土流失状况和生产建设活动造成的人为水土流失情况。建立完备的水土保持监管制度体系，优化调整监测站点布局，完善相关技术标准。充分运用卫星遥感、大数据等现代科技手段，实现年度水土流失动态监测和人为水土流失监管全覆盖，及时发现并查处水土保持违法违规行为，真正管住人为</w:t>
      </w:r>
      <w:r>
        <w:rPr>
          <w:rFonts w:hint="eastAsia" w:ascii="仿宋_GB2312" w:hAnsi="仿宋_GB2312" w:eastAsia="仿宋_GB2312" w:cs="仿宋_GB2312"/>
          <w:color w:val="auto"/>
          <w:sz w:val="32"/>
          <w:szCs w:val="32"/>
          <w:lang w:val="en-US" w:eastAsia="zh-CN"/>
        </w:rPr>
        <w:t>水土流失</w:t>
      </w:r>
      <w:r>
        <w:rPr>
          <w:rFonts w:hint="eastAsia" w:ascii="仿宋_GB2312" w:hAnsi="仿宋_GB2312" w:eastAsia="仿宋_GB2312" w:cs="仿宋_GB2312"/>
          <w:color w:val="auto"/>
          <w:sz w:val="32"/>
          <w:szCs w:val="32"/>
        </w:rPr>
        <w:t>。</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65" w:name="_Toc19006"/>
      <w:r>
        <w:rPr>
          <w:rFonts w:hint="eastAsia" w:ascii="楷体" w:hAnsi="楷体" w:eastAsia="楷体" w:cs="仿宋_GB2312"/>
          <w:color w:val="auto"/>
        </w:rPr>
        <w:t>（五）强化水安全风险管控，提高应急处置能力</w:t>
      </w:r>
      <w:bookmarkEnd w:id="65"/>
    </w:p>
    <w:p>
      <w:pPr>
        <w:pStyle w:val="33"/>
        <w:pageBreakBefore w:val="0"/>
        <w:kinsoku/>
        <w:wordWrap/>
        <w:overflowPunct/>
        <w:topLinePunct w:val="0"/>
        <w:bidi w:val="0"/>
        <w:adjustRightInd w:val="0"/>
        <w:snapToGrid w:val="0"/>
        <w:spacing w:line="360" w:lineRule="auto"/>
        <w:ind w:firstLine="640" w:firstLineChars="200"/>
        <w:textAlignment w:val="auto"/>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牢固树立底线思维，强化风险意识，坚持以防为主、防抗救相结合，强化监测预报预警、水工程调度和防汛抢险技术支撑，妥善应对防洪、水资源、水生态环境、水利工程等领域风险，最大程度预防和减少突发水安全事件造成的损害。全面落实水旱灾害防御责任，修订完善相关方案预案，开展风险隐患排查整改和调度培训演练,做好突发水旱灾害事件预警防范。探索建立流域水工程联合调度机制。</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66" w:name="bookmark78"/>
      <w:bookmarkStart w:id="67" w:name="_Toc4788"/>
      <w:r>
        <w:rPr>
          <w:rFonts w:hint="eastAsia" w:ascii="楷体" w:hAnsi="楷体" w:eastAsia="楷体" w:cs="仿宋_GB2312"/>
          <w:color w:val="auto"/>
        </w:rPr>
        <w:t>（</w:t>
      </w:r>
      <w:bookmarkEnd w:id="66"/>
      <w:r>
        <w:rPr>
          <w:rFonts w:hint="eastAsia" w:ascii="楷体" w:hAnsi="楷体" w:eastAsia="楷体" w:cs="仿宋_GB2312"/>
          <w:color w:val="auto"/>
        </w:rPr>
        <w:t>六）强化水行政执法，维护良好水事秩序</w:t>
      </w:r>
      <w:bookmarkEnd w:id="67"/>
    </w:p>
    <w:p>
      <w:pPr>
        <w:pStyle w:val="33"/>
        <w:pageBreakBefore w:val="0"/>
        <w:kinsoku/>
        <w:wordWrap/>
        <w:overflowPunct/>
        <w:topLinePunct w:val="0"/>
        <w:bidi w:val="0"/>
        <w:adjustRightInd w:val="0"/>
        <w:snapToGrid w:val="0"/>
        <w:spacing w:line="360" w:lineRule="auto"/>
        <w:ind w:firstLine="640" w:firstLineChars="200"/>
        <w:textAlignment w:val="auto"/>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坚决执行上级重大决策部署和重要决定安排，严格按照政策法规制度开展工作，聚焦各级水务改革发展中的重点任务及其他需要贯彻落实的重要工作，并将其全面纳入监管范围，对责任不落实、履职不到位，不作为、慢作为、乱作为的严肃追责问责。全面推行行政执法</w:t>
      </w:r>
      <w:r>
        <w:rPr>
          <w:rFonts w:hint="eastAsia" w:ascii="仿宋_GB2312" w:hAnsi="仿宋_GB2312" w:eastAsia="仿宋_GB2312" w:cs="仿宋_GB2312"/>
          <w:color w:val="auto"/>
          <w:sz w:val="32"/>
          <w:szCs w:val="32"/>
          <w:lang w:val="zh-CN" w:eastAsia="zh-CN" w:bidi="ar-SA"/>
        </w:rPr>
        <w:t>“三</w:t>
      </w:r>
      <w:r>
        <w:rPr>
          <w:rFonts w:hint="eastAsia" w:ascii="仿宋_GB2312" w:hAnsi="仿宋_GB2312" w:eastAsia="仿宋_GB2312" w:cs="仿宋_GB2312"/>
          <w:color w:val="auto"/>
          <w:sz w:val="32"/>
          <w:szCs w:val="32"/>
          <w:lang w:val="en-US" w:eastAsia="zh-CN" w:bidi="ar-SA"/>
        </w:rPr>
        <w:t>项制度”，严格落实行政处罚、行政强制上网运行。深入开展水行政执法监督检查，加大对重大水事违法案件的挂牌督办，严格规范公正文明执法。加强水行政执法能力建设和执法信息化建设，</w:t>
      </w:r>
      <w:r>
        <w:rPr>
          <w:rFonts w:ascii="仿宋_GB2312" w:hAnsi="仿宋_GB2312" w:eastAsia="仿宋_GB2312" w:cs="仿宋_GB2312"/>
          <w:color w:val="auto"/>
          <w:sz w:val="32"/>
          <w:szCs w:val="32"/>
          <w:lang w:val="en-US" w:eastAsia="zh-CN" w:bidi="ar-SA"/>
        </w:rPr>
        <w:t>健全水法规制度体系，以严管重罚，保障良好水生态环境。</w:t>
      </w:r>
      <w:r>
        <w:rPr>
          <w:rFonts w:hint="eastAsia" w:ascii="仿宋_GB2312" w:hAnsi="仿宋_GB2312" w:eastAsia="仿宋_GB2312" w:cs="仿宋_GB2312"/>
          <w:color w:val="auto"/>
          <w:sz w:val="32"/>
          <w:szCs w:val="32"/>
          <w:lang w:val="en-US" w:eastAsia="zh-CN" w:bidi="ar-SA"/>
        </w:rPr>
        <w:t>开展执法人员教育培训，改善执法统计。加强巡查排查，不断完善水事矛盾纠纷排查化解机制。</w:t>
      </w:r>
    </w:p>
    <w:p>
      <w:pPr>
        <w:rPr>
          <w:rFonts w:hint="eastAsia" w:ascii="黑体" w:hAnsi="黑体" w:eastAsia="黑体" w:cs="Times New Roman"/>
          <w:b w:val="0"/>
          <w:bCs w:val="0"/>
          <w:color w:val="auto"/>
          <w:kern w:val="2"/>
          <w:sz w:val="32"/>
          <w:szCs w:val="32"/>
        </w:rPr>
      </w:pPr>
      <w:bookmarkStart w:id="68" w:name="_Toc2105"/>
      <w:r>
        <w:rPr>
          <w:rFonts w:hint="eastAsia" w:ascii="黑体" w:hAnsi="黑体" w:eastAsia="黑体" w:cs="Times New Roman"/>
          <w:b w:val="0"/>
          <w:bCs w:val="0"/>
          <w:color w:val="auto"/>
          <w:kern w:val="2"/>
          <w:sz w:val="32"/>
          <w:szCs w:val="32"/>
        </w:rPr>
        <w:br w:type="page"/>
      </w:r>
    </w:p>
    <w:p>
      <w:pPr>
        <w:pStyle w:val="4"/>
        <w:pageBreakBefore w:val="0"/>
        <w:kinsoku/>
        <w:wordWrap/>
        <w:overflowPunct/>
        <w:topLinePunct w:val="0"/>
        <w:bidi w:val="0"/>
        <w:adjustRightInd w:val="0"/>
        <w:snapToGrid w:val="0"/>
        <w:spacing w:beforeLines="100" w:after="0" w:line="360" w:lineRule="auto"/>
        <w:jc w:val="center"/>
        <w:textAlignment w:val="auto"/>
        <w:rPr>
          <w:rFonts w:hint="eastAsia" w:ascii="黑体" w:hAnsi="黑体" w:eastAsia="黑体" w:cs="Times New Roman"/>
          <w:b w:val="0"/>
          <w:bCs w:val="0"/>
          <w:color w:val="auto"/>
          <w:kern w:val="2"/>
          <w:sz w:val="32"/>
          <w:szCs w:val="32"/>
        </w:rPr>
      </w:pPr>
      <w:bookmarkStart w:id="69" w:name="_Toc4976"/>
      <w:r>
        <w:rPr>
          <w:rFonts w:hint="eastAsia" w:ascii="黑体" w:hAnsi="黑体" w:eastAsia="黑体" w:cs="Times New Roman"/>
          <w:b w:val="0"/>
          <w:bCs w:val="0"/>
          <w:color w:val="auto"/>
          <w:kern w:val="2"/>
          <w:sz w:val="32"/>
          <w:szCs w:val="32"/>
        </w:rPr>
        <w:t>五、</w:t>
      </w:r>
      <w:bookmarkEnd w:id="68"/>
      <w:r>
        <w:rPr>
          <w:rFonts w:hint="eastAsia" w:ascii="黑体" w:hAnsi="黑体" w:eastAsia="黑体" w:cs="Times New Roman"/>
          <w:b w:val="0"/>
          <w:bCs w:val="0"/>
          <w:color w:val="auto"/>
          <w:kern w:val="2"/>
          <w:sz w:val="32"/>
          <w:szCs w:val="32"/>
        </w:rPr>
        <w:t>激发水利发展内生动力</w:t>
      </w:r>
      <w:bookmarkEnd w:id="69"/>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p>
    <w:p>
      <w:pPr>
        <w:pStyle w:val="33"/>
        <w:pageBreakBefore w:val="0"/>
        <w:kinsoku/>
        <w:wordWrap/>
        <w:overflowPunct/>
        <w:topLinePunct w:val="0"/>
        <w:bidi w:val="0"/>
        <w:adjustRightInd w:val="0"/>
        <w:snapToGrid w:val="0"/>
        <w:spacing w:line="360" w:lineRule="auto"/>
        <w:ind w:firstLine="640" w:firstLineChars="200"/>
        <w:textAlignment w:val="auto"/>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全面推进体制机制改革创新，构建系统完备、科学规范、运行有效的水务管理体系，把制度优势更好地转化为治理效能，为水利改革和行业发展提供有力支撑和保障。</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70" w:name="bookmark79"/>
      <w:bookmarkStart w:id="71" w:name="_Toc10708"/>
      <w:r>
        <w:rPr>
          <w:rFonts w:hint="eastAsia" w:ascii="楷体" w:hAnsi="楷体" w:eastAsia="楷体" w:cs="仿宋_GB2312"/>
          <w:color w:val="auto"/>
        </w:rPr>
        <w:t>（</w:t>
      </w:r>
      <w:bookmarkEnd w:id="70"/>
      <w:r>
        <w:rPr>
          <w:rFonts w:hint="eastAsia" w:ascii="楷体" w:hAnsi="楷体" w:eastAsia="楷体" w:cs="仿宋_GB2312"/>
          <w:color w:val="auto"/>
        </w:rPr>
        <w:t>一）完善水利法治体系，提升水利法治化水平</w:t>
      </w:r>
      <w:bookmarkEnd w:id="71"/>
    </w:p>
    <w:p>
      <w:pPr>
        <w:pageBreakBefore w:val="0"/>
        <w:kinsoku/>
        <w:wordWrap/>
        <w:overflowPunct/>
        <w:topLinePunct w:val="0"/>
        <w:bidi w:val="0"/>
        <w:adjustRightInd w:val="0"/>
        <w:snapToGrid w:val="0"/>
        <w:spacing w:line="36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坚持依法治水。坚持立改废释相结合，</w:t>
      </w:r>
      <w:r>
        <w:rPr>
          <w:rFonts w:hint="default" w:ascii="仿宋_GB2312" w:hAnsi="仿宋_GB2312" w:eastAsia="仿宋_GB2312" w:cs="仿宋_GB2312"/>
          <w:color w:val="auto"/>
          <w:sz w:val="32"/>
          <w:szCs w:val="32"/>
        </w:rPr>
        <w:t>修订《济宁市河道管理办法》</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制定出台《济宁市农村生活污水治理设施运行维护管理办法》</w:t>
      </w:r>
      <w:r>
        <w:rPr>
          <w:rFonts w:hint="eastAsia" w:ascii="仿宋_GB2312" w:hAnsi="仿宋_GB2312" w:eastAsia="仿宋_GB2312" w:cs="仿宋_GB2312"/>
          <w:color w:val="auto"/>
          <w:sz w:val="32"/>
          <w:szCs w:val="32"/>
        </w:rPr>
        <w:t>，健全完善地方水法规体系，依法为水利改革发展保驾护航。加强水政监察队伍建设，充实人员力量。</w:t>
      </w:r>
      <w:r>
        <w:rPr>
          <w:rFonts w:hint="eastAsia" w:ascii="仿宋_GB2312" w:hAnsi="仿宋_GB2312" w:eastAsia="仿宋_GB2312" w:cs="仿宋_GB2312"/>
          <w:color w:val="auto"/>
          <w:sz w:val="32"/>
          <w:szCs w:val="32"/>
          <w:lang w:eastAsia="zh-CN"/>
        </w:rPr>
        <w:t>全面推行水务执法“</w:t>
      </w:r>
      <w:r>
        <w:rPr>
          <w:rFonts w:hint="eastAsia" w:ascii="仿宋_GB2312" w:hAnsi="仿宋_GB2312" w:eastAsia="仿宋_GB2312" w:cs="仿宋_GB2312"/>
          <w:color w:val="auto"/>
          <w:sz w:val="32"/>
          <w:szCs w:val="32"/>
          <w:lang w:val="en-US" w:eastAsia="zh-CN"/>
        </w:rPr>
        <w:t>三项制度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配备水利执法设备设施，推行执法全过程记录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重大执法决定法制审核、行政执法公示，</w:t>
      </w:r>
      <w:r>
        <w:rPr>
          <w:rFonts w:hint="eastAsia" w:ascii="仿宋_GB2312" w:hAnsi="仿宋_GB2312" w:eastAsia="仿宋_GB2312" w:cs="仿宋_GB2312"/>
          <w:color w:val="auto"/>
          <w:sz w:val="32"/>
          <w:szCs w:val="32"/>
          <w:lang w:eastAsia="zh-CN"/>
        </w:rPr>
        <w:t>规范和</w:t>
      </w:r>
      <w:r>
        <w:rPr>
          <w:rFonts w:hint="eastAsia" w:ascii="仿宋_GB2312" w:hAnsi="仿宋_GB2312" w:eastAsia="仿宋_GB2312" w:cs="仿宋_GB2312"/>
          <w:color w:val="auto"/>
          <w:sz w:val="32"/>
          <w:szCs w:val="32"/>
        </w:rPr>
        <w:t>提升执法能力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认真落实水政执法巡查、重大案件挂牌督办等制度，坚持开展专项执法检查和集中整治行动，严厉打击各种水事违法行为。强化水务与公安、自然资源、环保、住房城乡建设等部门的联动执法。建立健全水事纠纷调处责任制，完善属地为主、条块结合的水事纠纷调处工作机制，加强水事矛盾源头控制和定期排查，建立健全边界水事活动协商机制。坚持依法科学民主决策，建立水利重大决策责任追究制度和责任倒查机制。推进政务公开，加大经费预决算、项目安排、水资源配置、水利工程建设等领域的信息公开力度，推进决策、执行、管理、服务、结果全公开。落实普法责任清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创新普法宣传形式，重点做好世界水日、中国水周和国家宪法日等宣传活动。切实增强全社会的水法治意识和水法治观念，为水利法治建设营造良好的社会氛围。</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72" w:name="bookmark80"/>
      <w:bookmarkStart w:id="73" w:name="_Toc26637"/>
      <w:r>
        <w:rPr>
          <w:rFonts w:hint="eastAsia" w:ascii="楷体" w:hAnsi="楷体" w:eastAsia="楷体" w:cs="仿宋_GB2312"/>
          <w:color w:val="auto"/>
        </w:rPr>
        <w:t>（</w:t>
      </w:r>
      <w:bookmarkEnd w:id="72"/>
      <w:r>
        <w:rPr>
          <w:rFonts w:hint="eastAsia" w:ascii="楷体" w:hAnsi="楷体" w:eastAsia="楷体" w:cs="仿宋_GB2312"/>
          <w:color w:val="auto"/>
        </w:rPr>
        <w:t>二）</w:t>
      </w:r>
      <w:r>
        <w:rPr>
          <w:rFonts w:hint="eastAsia" w:ascii="楷体" w:hAnsi="楷体" w:eastAsia="楷体" w:cs="仿宋_GB2312"/>
          <w:color w:val="auto"/>
          <w:lang w:val="en-US" w:eastAsia="zh-CN"/>
        </w:rPr>
        <w:t>深化</w:t>
      </w:r>
      <w:r>
        <w:rPr>
          <w:rFonts w:hint="eastAsia" w:ascii="楷体" w:hAnsi="楷体" w:eastAsia="楷体" w:cs="仿宋_GB2312"/>
          <w:color w:val="auto"/>
        </w:rPr>
        <w:t>管护体制改革，促进工程良性运行</w:t>
      </w:r>
      <w:bookmarkEnd w:id="73"/>
    </w:p>
    <w:p>
      <w:pPr>
        <w:pStyle w:val="33"/>
        <w:pageBreakBefore w:val="0"/>
        <w:kinsoku/>
        <w:wordWrap/>
        <w:overflowPunct/>
        <w:topLinePunct w:val="0"/>
        <w:bidi w:val="0"/>
        <w:adjustRightInd w:val="0"/>
        <w:snapToGrid w:val="0"/>
        <w:spacing w:line="360" w:lineRule="auto"/>
        <w:ind w:firstLine="640" w:firstLineChars="200"/>
        <w:textAlignment w:val="auto"/>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建立职能清晰、责任明确的管理体制，社会化、专业化的管护模式，制度健全、管护规范的运行机制，稳定可靠、使用高效的经费保障机制，奖惩分明、考核科学的管理监督机制。加强水利工程管理标准体系建设，探索所有权、管理权和使用权相分离，适宜小型水利工程的管护新模式。创新政府购买服务、分级负责、分类管理、集约管理的水利工程运行管理的有效途径和以大代小、委托代管等管理模式。推动工程运行管理队伍专业化、规模化、规范化。</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74" w:name="bookmark81"/>
      <w:bookmarkStart w:id="75" w:name="_Toc1956"/>
      <w:r>
        <w:rPr>
          <w:rFonts w:hint="eastAsia" w:ascii="楷体" w:hAnsi="楷体" w:eastAsia="楷体" w:cs="仿宋_GB2312"/>
          <w:color w:val="auto"/>
        </w:rPr>
        <w:t>（</w:t>
      </w:r>
      <w:bookmarkEnd w:id="74"/>
      <w:r>
        <w:rPr>
          <w:rFonts w:hint="eastAsia" w:ascii="楷体" w:hAnsi="楷体" w:eastAsia="楷体" w:cs="仿宋_GB2312"/>
          <w:color w:val="auto"/>
        </w:rPr>
        <w:t>三）深化水资源价税改革，提高水资源利用效率和效益</w:t>
      </w:r>
      <w:bookmarkEnd w:id="75"/>
    </w:p>
    <w:p>
      <w:pPr>
        <w:pageBreakBefore w:val="0"/>
        <w:kinsoku/>
        <w:wordWrap/>
        <w:overflowPunct/>
        <w:topLinePunct w:val="0"/>
        <w:bidi w:val="0"/>
        <w:adjustRightInd w:val="0"/>
        <w:snapToGrid w:val="0"/>
        <w:spacing w:line="360" w:lineRule="auto"/>
        <w:ind w:firstLine="640" w:firstLineChars="200"/>
        <w:textAlignment w:val="auto"/>
        <w:rPr>
          <w:rFonts w:ascii="仿宋_GB2312" w:hAnsi="仿宋_GB2312" w:eastAsia="仿宋_GB2312" w:cs="仿宋_GB2312"/>
          <w:color w:val="auto"/>
          <w:sz w:val="32"/>
          <w:szCs w:val="32"/>
          <w:lang w:val="zh-TW"/>
        </w:rPr>
      </w:pPr>
      <w:r>
        <w:rPr>
          <w:rFonts w:hint="eastAsia" w:ascii="仿宋_GB2312" w:hAnsi="仿宋_GB2312" w:eastAsia="仿宋_GB2312" w:cs="仿宋_GB2312"/>
          <w:color w:val="auto"/>
          <w:sz w:val="32"/>
          <w:szCs w:val="32"/>
        </w:rPr>
        <w:t>深入推行水资源税改革，用税收杠杆调节用水需求。</w:t>
      </w:r>
      <w:r>
        <w:rPr>
          <w:rFonts w:hint="eastAsia" w:ascii="仿宋_GB2312" w:hAnsi="仿宋_GB2312" w:eastAsia="仿宋_GB2312" w:cs="仿宋_GB2312"/>
          <w:color w:val="auto"/>
          <w:sz w:val="32"/>
          <w:szCs w:val="32"/>
          <w:lang w:val="zh-TW" w:eastAsia="zh-TW"/>
        </w:rPr>
        <w:t>推动建立水生态环境保护建设区域协作机制和流域上下游不同区域生态补偿协商机制，探索水生态补偿机制实现方式及协商机制。制订和落实与水有关的生态环境保护收费制度，对矿产资源开发等涉水经济活动征收水生态补偿费用，用于已破坏的河湖生态系统及地下水治理修复。建立健全水土保持、建设项目占用水利设施和水域等补偿制度，建立对饮用水水源保护区及河、湖、库上游地区的补偿机制。依法开展水资源使用权确权登记，形成归属清晰、权责明确的水资源资产产权制度。培育和规范水权交易市场，积极推进水权交易流转方式，允许通过水权交易满足新增合理用水需求，充分发挥市场在水资源开发、利用、配置、节约、保护中的作用，使水权水市场成为解决水问题、化解水矛盾、实现可持续利用的内生动力。社会资本投资建设水利工程的，可以优先获得新增水资源使用权，在保障农业用水和农民利益的前提下，建立健全工农业用水水权转换机制，探索推行“一卡两价一平台”的农业水权交易模式。</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76" w:name="bookmark82"/>
      <w:bookmarkStart w:id="77" w:name="_Toc16075"/>
      <w:r>
        <w:rPr>
          <w:rFonts w:hint="eastAsia" w:ascii="楷体" w:hAnsi="楷体" w:eastAsia="楷体" w:cs="仿宋_GB2312"/>
          <w:color w:val="auto"/>
        </w:rPr>
        <w:t>（</w:t>
      </w:r>
      <w:bookmarkEnd w:id="76"/>
      <w:r>
        <w:rPr>
          <w:rFonts w:hint="eastAsia" w:ascii="楷体" w:hAnsi="楷体" w:eastAsia="楷体" w:cs="仿宋_GB2312"/>
          <w:color w:val="auto"/>
        </w:rPr>
        <w:t>四）推进投融资机制改革，保障建设资金需求</w:t>
      </w:r>
      <w:bookmarkEnd w:id="77"/>
    </w:p>
    <w:p>
      <w:pPr>
        <w:pStyle w:val="33"/>
        <w:pageBreakBefore w:val="0"/>
        <w:kinsoku/>
        <w:wordWrap/>
        <w:overflowPunct/>
        <w:topLinePunct w:val="0"/>
        <w:bidi w:val="0"/>
        <w:adjustRightInd w:val="0"/>
        <w:snapToGrid w:val="0"/>
        <w:spacing w:line="360" w:lineRule="auto"/>
        <w:ind w:firstLine="640" w:firstLineChars="200"/>
        <w:textAlignment w:val="auto"/>
        <w:rPr>
          <w:rFonts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坚持政府主导、社会协同的原则，加大公共财政对水利投入，同时争取金融支持力度、鼓励和吸引社会资本、探索扩大股权和债券融资规模，以市场化改革推动加快水利工程建设，构建多元化水利投融资体制机制，保障水利建设资金需求。</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78" w:name="_Toc10625"/>
      <w:r>
        <w:rPr>
          <w:rFonts w:hint="eastAsia" w:ascii="楷体" w:hAnsi="楷体" w:eastAsia="楷体" w:cs="仿宋_GB2312"/>
          <w:color w:val="auto"/>
        </w:rPr>
        <w:t>（五）创新水库移民后期扶持管理，发挥资金使用效益</w:t>
      </w:r>
      <w:bookmarkEnd w:id="78"/>
    </w:p>
    <w:p>
      <w:pPr>
        <w:pageBreakBefore w:val="0"/>
        <w:kinsoku/>
        <w:wordWrap/>
        <w:overflowPunct/>
        <w:topLinePunct w:val="0"/>
        <w:bidi w:val="0"/>
        <w:adjustRightInd w:val="0"/>
        <w:snapToGrid w:val="0"/>
        <w:spacing w:line="36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进一步理顺水利移民工作管理体制，探索完善大中型水库移民人口增减核查、后期扶持规划、扶持项目审批方式及监督检查等方面工作机制，稳步推进大中型水库移民后期扶持工作。结合移民实际，以目标为引领，以问题为导向，围绕美丽家园建设、产业发展、就业创业能力建设等重点任务，落实扶持措施及重点项目，进一步促进库区和移民安置区社会和谐稳定。</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lang w:val="en-US" w:eastAsia="zh-CN"/>
        </w:rPr>
      </w:pPr>
      <w:bookmarkStart w:id="79" w:name="_Toc777"/>
      <w:bookmarkStart w:id="80" w:name="bookmark83"/>
      <w:r>
        <w:rPr>
          <w:rFonts w:hint="eastAsia" w:ascii="楷体" w:hAnsi="楷体" w:eastAsia="楷体" w:cs="仿宋_GB2312"/>
          <w:color w:val="auto"/>
          <w:lang w:val="en-US" w:eastAsia="zh-CN"/>
        </w:rPr>
        <w:t>（六）创新农村生活污水管理方式，提升农村人居环境</w:t>
      </w:r>
      <w:bookmarkEnd w:id="79"/>
    </w:p>
    <w:p>
      <w:pPr>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bookmarkStart w:id="81" w:name="_Toc29941"/>
      <w:r>
        <w:rPr>
          <w:rFonts w:hint="eastAsia" w:ascii="仿宋_GB2312" w:hAnsi="仿宋_GB2312" w:eastAsia="仿宋_GB2312" w:cs="仿宋_GB2312"/>
          <w:color w:val="auto"/>
          <w:sz w:val="32"/>
          <w:szCs w:val="32"/>
          <w:lang w:val="en-US" w:eastAsia="zh-CN"/>
        </w:rPr>
        <w:t>探索建立污水处理费收费制度，综合考虑村集体经济状况、农户承受能力、污水处理成本等因素，合理确定收费标准，并同步开征污水处理费。全面建立农村生活污水处理设施监管体系，农村生活污水处理设施遵循属地管理原则，实行市场化运作。建立相关市直部门为监督主体、各县（市、区）人民政府（管委会）为责任主体，各乡镇（街道）人民政府（办事处）及村级组织为配合主体、第三方运行维护单位为服务主体的农村生活污水处理设施运行维护管理体系，推进农村生活污水处理设施运行监管平台建设，实现移动端实时监测管理。同时，将农村生活污水治理项目纳入河湖长制，纳入全市水利工程统一管理监督体系。促进设施良性运行，保障农村人居环境</w:t>
      </w:r>
      <w:bookmarkEnd w:id="80"/>
      <w:r>
        <w:rPr>
          <w:rFonts w:hint="eastAsia" w:ascii="仿宋_GB2312" w:hAnsi="仿宋_GB2312" w:eastAsia="仿宋_GB2312" w:cs="仿宋_GB2312"/>
          <w:color w:val="auto"/>
          <w:sz w:val="32"/>
          <w:szCs w:val="32"/>
          <w:lang w:val="en-US" w:eastAsia="zh-CN"/>
        </w:rPr>
        <w:t>。</w:t>
      </w:r>
      <w:bookmarkEnd w:id="81"/>
    </w:p>
    <w:p>
      <w:pPr>
        <w:pStyle w:val="2"/>
        <w:keepNext w:val="0"/>
        <w:keepLines w:val="0"/>
        <w:pageBreakBefore w:val="0"/>
        <w:widowControl w:val="0"/>
        <w:kinsoku/>
        <w:wordWrap/>
        <w:overflowPunct/>
        <w:topLinePunct w:val="0"/>
        <w:autoSpaceDE/>
        <w:autoSpaceDN/>
        <w:bidi w:val="0"/>
        <w:adjustRightInd/>
        <w:snapToGrid/>
        <w:ind w:left="0" w:leftChars="0" w:firstLine="642" w:firstLineChars="200"/>
        <w:textAlignment w:val="auto"/>
        <w:outlineLvl w:val="1"/>
        <w:rPr>
          <w:rFonts w:hint="eastAsia" w:ascii="楷体" w:hAnsi="楷体" w:eastAsia="楷体" w:cs="仿宋_GB2312"/>
          <w:b/>
          <w:bCs/>
          <w:color w:val="auto"/>
          <w:kern w:val="0"/>
          <w:sz w:val="32"/>
          <w:szCs w:val="32"/>
          <w:lang w:val="en-US" w:eastAsia="zh-CN" w:bidi="ar-SA"/>
        </w:rPr>
      </w:pPr>
      <w:bookmarkStart w:id="82" w:name="_Toc2788"/>
      <w:r>
        <w:rPr>
          <w:rFonts w:hint="eastAsia" w:ascii="楷体" w:hAnsi="楷体" w:eastAsia="楷体" w:cs="仿宋_GB2312"/>
          <w:b/>
          <w:bCs/>
          <w:color w:val="auto"/>
          <w:kern w:val="0"/>
          <w:sz w:val="32"/>
          <w:szCs w:val="32"/>
          <w:lang w:val="en-US" w:eastAsia="zh-CN" w:bidi="ar-SA"/>
        </w:rPr>
        <w:t>（七）创新农村黑臭水体治理体系，打造村居优美水环境</w:t>
      </w:r>
      <w:bookmarkEnd w:id="82"/>
    </w:p>
    <w:p>
      <w:pPr>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以村民主要集聚区及向外延伸1000米区域内为重点，对我市辖区内农村黑臭水体实施全域排查治理，落实县级排查治理主体责任，强化部门分工协作，按照“分级管理、分类管理、分工负责、分期推进”的工作思路，采取全面排查、控源截污、清淤疏浚、水体净化等综合措施，从“查、治、管”三方面着力，统筹岸上、岸下综合治理，利用3年时间集中整治，到2023年基本消除全市农村黑臭水体，让广大农民在乡村振兴中有更多获得感、幸福感。构建农村黑臭水体治理长效监管体系，建立县级负责、镇级实施、村民参与机制，实施农村黑臭水体常态化管控。</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lang w:val="en-US" w:eastAsia="zh-CN"/>
        </w:rPr>
      </w:pPr>
      <w:bookmarkStart w:id="83" w:name="_Toc20907"/>
      <w:r>
        <w:rPr>
          <w:rFonts w:hint="eastAsia" w:ascii="楷体" w:hAnsi="楷体" w:eastAsia="楷体" w:cs="仿宋_GB2312"/>
          <w:color w:val="auto"/>
          <w:lang w:val="en-US" w:eastAsia="zh-CN"/>
        </w:rPr>
        <w:t>（八）加强人才队伍建设，提升干部队伍素质</w:t>
      </w:r>
      <w:bookmarkEnd w:id="83"/>
    </w:p>
    <w:p>
      <w:pPr>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坚持党管人才原则，大力推进水利人才战略，进一步加强高层次人才、重点业务领域人才的培养与引进，加大基层水利人才培养力度，健全人才向基层流动、向艰苦地区和岗位流动、在水利一线创业的激励机制，着力补齐水利人才队伍建设短板，实现水利人才总量、结构、素质与水利事业科学发展相协调。加强思想政治建设、党风廉政建设、作风建设和水文化建设，深入开展精神文明创建活动，大力弘扬“忠诚、干净、担当，科学、求实、创新”的水利行业精神。</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eastAsia" w:ascii="楷体" w:hAnsi="楷体" w:eastAsia="楷体" w:cs="仿宋_GB2312"/>
          <w:color w:val="auto"/>
        </w:rPr>
      </w:pPr>
      <w:bookmarkStart w:id="84" w:name="bookmark84"/>
      <w:bookmarkStart w:id="85" w:name="_Toc20289"/>
      <w:r>
        <w:rPr>
          <w:rFonts w:hint="eastAsia" w:ascii="楷体" w:hAnsi="楷体" w:eastAsia="楷体" w:cs="仿宋_GB2312"/>
          <w:color w:val="auto"/>
        </w:rPr>
        <w:t>（</w:t>
      </w:r>
      <w:bookmarkEnd w:id="84"/>
      <w:r>
        <w:rPr>
          <w:rFonts w:hint="eastAsia" w:ascii="楷体" w:hAnsi="楷体" w:eastAsia="楷体" w:cs="仿宋_GB2312"/>
          <w:color w:val="auto"/>
          <w:lang w:val="en-US" w:eastAsia="zh-CN"/>
        </w:rPr>
        <w:t>九</w:t>
      </w:r>
      <w:r>
        <w:rPr>
          <w:rFonts w:hint="eastAsia" w:ascii="楷体" w:hAnsi="楷体" w:eastAsia="楷体" w:cs="仿宋_GB2312"/>
          <w:color w:val="auto"/>
        </w:rPr>
        <w:t>）提升科技支撑水平，增强水利科技创新能力</w:t>
      </w:r>
      <w:bookmarkEnd w:id="85"/>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全面贯彻创新发展理念，坚持需求导向，加强顶层设计，着力突破重大水利科技问题，加紧健全完善优化科技资金投向、促进科技资源整合、推动创新链条融合的体制机制，增强水利科技创新能力。集中财政资金开展公益性和关键共性技术研究。加大对科技示范园区和科技信息服务载体的投入，加大对科技领军人才培养和“方向型”创新团队的投入，努力培育高水平创新团队。广泛应用信息化、智能化、绿色化技术和先进装备武装水利行业，引导和促进水务科技成果转化，推动水务管理能力现代化。</w:t>
      </w:r>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p>
    <w:p>
      <w:pPr>
        <w:pStyle w:val="4"/>
        <w:pageBreakBefore w:val="0"/>
        <w:kinsoku/>
        <w:wordWrap/>
        <w:overflowPunct/>
        <w:topLinePunct w:val="0"/>
        <w:bidi w:val="0"/>
        <w:adjustRightInd w:val="0"/>
        <w:snapToGrid w:val="0"/>
        <w:spacing w:beforeLines="100" w:after="0" w:line="360" w:lineRule="auto"/>
        <w:jc w:val="center"/>
        <w:textAlignment w:val="auto"/>
        <w:rPr>
          <w:rFonts w:hint="eastAsia" w:ascii="黑体" w:hAnsi="黑体" w:eastAsia="黑体" w:cs="Times New Roman"/>
          <w:b w:val="0"/>
          <w:bCs w:val="0"/>
          <w:color w:val="auto"/>
          <w:kern w:val="2"/>
          <w:sz w:val="32"/>
          <w:szCs w:val="32"/>
          <w:lang w:val="en-US" w:eastAsia="zh-CN"/>
        </w:rPr>
      </w:pPr>
      <w:bookmarkStart w:id="86" w:name="_Toc23018"/>
      <w:r>
        <w:rPr>
          <w:rFonts w:hint="eastAsia" w:ascii="黑体" w:hAnsi="黑体" w:eastAsia="黑体" w:cs="Times New Roman"/>
          <w:b w:val="0"/>
          <w:bCs w:val="0"/>
          <w:color w:val="auto"/>
          <w:kern w:val="2"/>
          <w:sz w:val="32"/>
          <w:szCs w:val="32"/>
          <w:lang w:val="en-US" w:eastAsia="zh-CN"/>
        </w:rPr>
        <w:t>六、投资规模和实施安排</w:t>
      </w:r>
      <w:bookmarkEnd w:id="86"/>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default" w:ascii="楷体" w:hAnsi="楷体" w:eastAsia="楷体" w:cs="仿宋_GB2312"/>
          <w:color w:val="auto"/>
          <w:lang w:val="en-US" w:eastAsia="zh-CN"/>
        </w:rPr>
      </w:pPr>
      <w:bookmarkStart w:id="87" w:name="_Toc1056"/>
      <w:r>
        <w:rPr>
          <w:rFonts w:hint="eastAsia" w:ascii="楷体" w:hAnsi="楷体" w:eastAsia="楷体" w:cs="仿宋_GB2312"/>
          <w:color w:val="auto"/>
        </w:rPr>
        <w:t>（一）</w:t>
      </w:r>
      <w:r>
        <w:rPr>
          <w:rFonts w:hint="eastAsia" w:ascii="楷体" w:hAnsi="楷体" w:eastAsia="楷体" w:cs="仿宋_GB2312"/>
          <w:color w:val="auto"/>
          <w:lang w:val="en-US" w:eastAsia="zh-CN"/>
        </w:rPr>
        <w:t>投资规模</w:t>
      </w:r>
      <w:bookmarkEnd w:id="87"/>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仿宋" w:cs="Times New Roman"/>
          <w:b/>
          <w:bCs/>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“十四五”水务建设项目</w:t>
      </w:r>
      <w:r>
        <w:rPr>
          <w:rFonts w:hint="default" w:ascii="仿宋_GB2312" w:hAnsi="仿宋_GB2312" w:eastAsia="仿宋_GB2312" w:cs="仿宋_GB2312"/>
          <w:color w:val="auto"/>
          <w:kern w:val="0"/>
          <w:sz w:val="32"/>
          <w:szCs w:val="32"/>
          <w:lang w:val="en-US" w:eastAsia="zh-CN"/>
        </w:rPr>
        <w:t>包括</w:t>
      </w:r>
      <w:r>
        <w:rPr>
          <w:rFonts w:hint="eastAsia" w:ascii="仿宋_GB2312" w:hAnsi="仿宋_GB2312" w:eastAsia="仿宋_GB2312" w:cs="仿宋_GB2312"/>
          <w:color w:val="auto"/>
          <w:kern w:val="0"/>
          <w:sz w:val="32"/>
          <w:szCs w:val="32"/>
          <w:lang w:val="en-US" w:eastAsia="zh-CN"/>
        </w:rPr>
        <w:t>防洪排涝工程体系</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水资源保障体系</w:t>
      </w:r>
      <w:r>
        <w:rPr>
          <w:rFonts w:hint="default" w:ascii="仿宋_GB2312" w:hAnsi="仿宋_GB2312" w:eastAsia="仿宋_GB2312" w:cs="仿宋_GB2312"/>
          <w:color w:val="auto"/>
          <w:kern w:val="0"/>
          <w:sz w:val="32"/>
          <w:szCs w:val="32"/>
          <w:lang w:val="en-US" w:eastAsia="zh-CN"/>
        </w:rPr>
        <w:t>、水生态</w:t>
      </w:r>
      <w:r>
        <w:rPr>
          <w:rFonts w:hint="eastAsia" w:ascii="仿宋_GB2312" w:hAnsi="仿宋_GB2312" w:eastAsia="仿宋_GB2312" w:cs="仿宋_GB2312"/>
          <w:color w:val="auto"/>
          <w:kern w:val="0"/>
          <w:sz w:val="32"/>
          <w:szCs w:val="32"/>
          <w:lang w:val="en-US" w:eastAsia="zh-CN"/>
        </w:rPr>
        <w:t>体系</w:t>
      </w:r>
      <w:r>
        <w:rPr>
          <w:rFonts w:hint="default"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水务信息化体系</w:t>
      </w:r>
      <w:r>
        <w:rPr>
          <w:rFonts w:hint="default" w:ascii="仿宋_GB2312" w:hAnsi="仿宋_GB2312" w:eastAsia="仿宋_GB2312" w:cs="仿宋_GB2312"/>
          <w:color w:val="auto"/>
          <w:kern w:val="0"/>
          <w:sz w:val="32"/>
          <w:szCs w:val="32"/>
          <w:lang w:val="en-US" w:eastAsia="zh-CN"/>
        </w:rPr>
        <w:t>和</w:t>
      </w:r>
      <w:r>
        <w:rPr>
          <w:rFonts w:hint="eastAsia" w:ascii="仿宋_GB2312" w:hAnsi="仿宋_GB2312" w:eastAsia="仿宋_GB2312" w:cs="仿宋_GB2312"/>
          <w:color w:val="auto"/>
          <w:kern w:val="0"/>
          <w:sz w:val="32"/>
          <w:szCs w:val="32"/>
          <w:lang w:val="en-US" w:eastAsia="zh-CN"/>
        </w:rPr>
        <w:t>水务管理体系</w:t>
      </w:r>
      <w:r>
        <w:rPr>
          <w:rFonts w:hint="default" w:ascii="仿宋_GB2312" w:hAnsi="仿宋_GB2312" w:eastAsia="仿宋_GB2312" w:cs="仿宋_GB2312"/>
          <w:color w:val="auto"/>
          <w:kern w:val="0"/>
          <w:sz w:val="32"/>
          <w:szCs w:val="32"/>
          <w:lang w:val="en-US" w:eastAsia="zh-CN"/>
        </w:rPr>
        <w:t>等</w:t>
      </w:r>
      <w:r>
        <w:rPr>
          <w:rFonts w:hint="eastAsia" w:ascii="仿宋_GB2312" w:hAnsi="仿宋_GB2312" w:eastAsia="仿宋_GB2312" w:cs="仿宋_GB2312"/>
          <w:color w:val="auto"/>
          <w:kern w:val="0"/>
          <w:sz w:val="32"/>
          <w:szCs w:val="32"/>
          <w:lang w:val="en-US" w:eastAsia="zh-CN"/>
        </w:rPr>
        <w:t>五</w:t>
      </w:r>
      <w:r>
        <w:rPr>
          <w:rFonts w:hint="default" w:ascii="仿宋_GB2312" w:hAnsi="仿宋_GB2312" w:eastAsia="仿宋_GB2312" w:cs="仿宋_GB2312"/>
          <w:color w:val="auto"/>
          <w:kern w:val="0"/>
          <w:sz w:val="32"/>
          <w:szCs w:val="32"/>
          <w:lang w:val="en-US" w:eastAsia="zh-CN"/>
        </w:rPr>
        <w:t>大类，</w:t>
      </w:r>
      <w:r>
        <w:rPr>
          <w:rFonts w:hint="eastAsia" w:ascii="仿宋_GB2312" w:hAnsi="仿宋_GB2312" w:eastAsia="仿宋_GB2312" w:cs="仿宋_GB2312"/>
          <w:color w:val="auto"/>
          <w:kern w:val="0"/>
          <w:sz w:val="32"/>
          <w:szCs w:val="32"/>
          <w:lang w:val="en-US" w:eastAsia="zh-CN"/>
        </w:rPr>
        <w:t>经初步匡算，投资规模为417.84</w:t>
      </w:r>
      <w:r>
        <w:rPr>
          <w:rFonts w:hint="default" w:ascii="仿宋_GB2312" w:hAnsi="仿宋_GB2312" w:eastAsia="仿宋_GB2312" w:cs="仿宋_GB2312"/>
          <w:color w:val="auto"/>
          <w:kern w:val="0"/>
          <w:sz w:val="32"/>
          <w:szCs w:val="32"/>
          <w:lang w:val="en-US" w:eastAsia="zh-CN"/>
        </w:rPr>
        <w:t>亿元。其中防洪排涝工程</w:t>
      </w:r>
      <w:r>
        <w:rPr>
          <w:rFonts w:hint="eastAsia" w:ascii="仿宋_GB2312" w:hAnsi="仿宋_GB2312" w:eastAsia="仿宋_GB2312" w:cs="仿宋_GB2312"/>
          <w:color w:val="auto"/>
          <w:kern w:val="0"/>
          <w:sz w:val="32"/>
          <w:szCs w:val="32"/>
          <w:lang w:val="en-US" w:eastAsia="zh-CN"/>
        </w:rPr>
        <w:t>体系</w:t>
      </w:r>
      <w:r>
        <w:rPr>
          <w:rFonts w:hint="default" w:ascii="仿宋_GB2312" w:hAnsi="仿宋_GB2312" w:eastAsia="仿宋_GB2312" w:cs="仿宋_GB2312"/>
          <w:color w:val="auto"/>
          <w:kern w:val="0"/>
          <w:sz w:val="32"/>
          <w:szCs w:val="32"/>
          <w:lang w:val="en-US" w:eastAsia="zh-CN"/>
        </w:rPr>
        <w:t>投资</w:t>
      </w:r>
      <w:r>
        <w:rPr>
          <w:rFonts w:hint="eastAsia" w:ascii="仿宋_GB2312" w:hAnsi="仿宋_GB2312" w:eastAsia="仿宋_GB2312" w:cs="仿宋_GB2312"/>
          <w:color w:val="auto"/>
          <w:kern w:val="0"/>
          <w:sz w:val="32"/>
          <w:szCs w:val="32"/>
          <w:lang w:val="en-US" w:eastAsia="zh-CN"/>
        </w:rPr>
        <w:t>141.22</w:t>
      </w:r>
      <w:r>
        <w:rPr>
          <w:rFonts w:hint="default" w:ascii="仿宋_GB2312" w:hAnsi="仿宋_GB2312" w:eastAsia="仿宋_GB2312" w:cs="仿宋_GB2312"/>
          <w:color w:val="auto"/>
          <w:kern w:val="0"/>
          <w:sz w:val="32"/>
          <w:szCs w:val="32"/>
          <w:lang w:val="en-US" w:eastAsia="zh-CN"/>
        </w:rPr>
        <w:t>亿元；</w:t>
      </w:r>
      <w:r>
        <w:rPr>
          <w:rFonts w:hint="eastAsia" w:ascii="仿宋_GB2312" w:hAnsi="仿宋_GB2312" w:eastAsia="仿宋_GB2312" w:cs="仿宋_GB2312"/>
          <w:color w:val="auto"/>
          <w:kern w:val="0"/>
          <w:sz w:val="32"/>
          <w:szCs w:val="32"/>
          <w:lang w:val="en-US" w:eastAsia="zh-CN"/>
        </w:rPr>
        <w:t>水资源保障体系</w:t>
      </w:r>
      <w:r>
        <w:rPr>
          <w:rFonts w:hint="default" w:ascii="仿宋_GB2312" w:hAnsi="仿宋_GB2312" w:eastAsia="仿宋_GB2312" w:cs="仿宋_GB2312"/>
          <w:color w:val="auto"/>
          <w:kern w:val="0"/>
          <w:sz w:val="32"/>
          <w:szCs w:val="32"/>
          <w:lang w:val="en-US" w:eastAsia="zh-CN"/>
        </w:rPr>
        <w:t>投资</w:t>
      </w:r>
      <w:r>
        <w:rPr>
          <w:rFonts w:hint="eastAsia" w:ascii="仿宋_GB2312" w:hAnsi="仿宋_GB2312" w:eastAsia="仿宋_GB2312" w:cs="仿宋_GB2312"/>
          <w:color w:val="auto"/>
          <w:kern w:val="0"/>
          <w:sz w:val="32"/>
          <w:szCs w:val="32"/>
          <w:lang w:val="en-US" w:eastAsia="zh-CN"/>
        </w:rPr>
        <w:t>128.24</w:t>
      </w:r>
      <w:r>
        <w:rPr>
          <w:rFonts w:hint="default" w:ascii="仿宋_GB2312" w:hAnsi="仿宋_GB2312" w:eastAsia="仿宋_GB2312" w:cs="仿宋_GB2312"/>
          <w:color w:val="auto"/>
          <w:kern w:val="0"/>
          <w:sz w:val="32"/>
          <w:szCs w:val="32"/>
          <w:lang w:val="en-US" w:eastAsia="zh-CN"/>
        </w:rPr>
        <w:t>亿元；水生态</w:t>
      </w:r>
      <w:r>
        <w:rPr>
          <w:rFonts w:hint="eastAsia" w:ascii="仿宋_GB2312" w:hAnsi="仿宋_GB2312" w:eastAsia="仿宋_GB2312" w:cs="仿宋_GB2312"/>
          <w:color w:val="auto"/>
          <w:kern w:val="0"/>
          <w:sz w:val="32"/>
          <w:szCs w:val="32"/>
          <w:lang w:val="en-US" w:eastAsia="zh-CN"/>
        </w:rPr>
        <w:t>体系</w:t>
      </w:r>
      <w:r>
        <w:rPr>
          <w:rFonts w:hint="default" w:ascii="仿宋_GB2312" w:hAnsi="仿宋_GB2312" w:eastAsia="仿宋_GB2312" w:cs="仿宋_GB2312"/>
          <w:color w:val="auto"/>
          <w:kern w:val="0"/>
          <w:sz w:val="32"/>
          <w:szCs w:val="32"/>
          <w:lang w:val="en-US" w:eastAsia="zh-CN"/>
        </w:rPr>
        <w:t>投资</w:t>
      </w:r>
      <w:r>
        <w:rPr>
          <w:rFonts w:hint="eastAsia" w:ascii="仿宋_GB2312" w:hAnsi="仿宋_GB2312" w:eastAsia="仿宋_GB2312" w:cs="仿宋_GB2312"/>
          <w:color w:val="auto"/>
          <w:kern w:val="0"/>
          <w:sz w:val="32"/>
          <w:szCs w:val="32"/>
          <w:lang w:val="en-US" w:eastAsia="zh-CN"/>
        </w:rPr>
        <w:t>144.41</w:t>
      </w:r>
      <w:r>
        <w:rPr>
          <w:rFonts w:hint="default" w:ascii="仿宋_GB2312" w:hAnsi="仿宋_GB2312" w:eastAsia="仿宋_GB2312" w:cs="仿宋_GB2312"/>
          <w:color w:val="auto"/>
          <w:kern w:val="0"/>
          <w:sz w:val="32"/>
          <w:szCs w:val="32"/>
          <w:lang w:val="en-US" w:eastAsia="zh-CN"/>
        </w:rPr>
        <w:t>亿元；</w:t>
      </w:r>
      <w:r>
        <w:rPr>
          <w:rFonts w:hint="eastAsia" w:ascii="仿宋_GB2312" w:hAnsi="仿宋_GB2312" w:eastAsia="仿宋_GB2312" w:cs="仿宋_GB2312"/>
          <w:color w:val="auto"/>
          <w:kern w:val="0"/>
          <w:sz w:val="32"/>
          <w:szCs w:val="32"/>
          <w:lang w:val="en-US" w:eastAsia="zh-CN"/>
        </w:rPr>
        <w:t>水务信息化体系</w:t>
      </w:r>
      <w:r>
        <w:rPr>
          <w:rFonts w:hint="default" w:ascii="仿宋_GB2312" w:hAnsi="仿宋_GB2312" w:eastAsia="仿宋_GB2312" w:cs="仿宋_GB2312"/>
          <w:color w:val="auto"/>
          <w:kern w:val="0"/>
          <w:sz w:val="32"/>
          <w:szCs w:val="32"/>
          <w:lang w:val="en-US" w:eastAsia="zh-CN"/>
        </w:rPr>
        <w:t>投资</w:t>
      </w:r>
      <w:r>
        <w:rPr>
          <w:rFonts w:hint="eastAsia" w:ascii="仿宋_GB2312" w:hAnsi="仿宋_GB2312" w:eastAsia="仿宋_GB2312" w:cs="仿宋_GB2312"/>
          <w:color w:val="auto"/>
          <w:kern w:val="0"/>
          <w:sz w:val="32"/>
          <w:szCs w:val="32"/>
          <w:lang w:val="en-US" w:eastAsia="zh-CN"/>
        </w:rPr>
        <w:t>3.03</w:t>
      </w:r>
      <w:r>
        <w:rPr>
          <w:rFonts w:hint="default" w:ascii="仿宋_GB2312" w:hAnsi="仿宋_GB2312" w:eastAsia="仿宋_GB2312" w:cs="仿宋_GB2312"/>
          <w:color w:val="auto"/>
          <w:kern w:val="0"/>
          <w:sz w:val="32"/>
          <w:szCs w:val="32"/>
          <w:lang w:val="en-US" w:eastAsia="zh-CN"/>
        </w:rPr>
        <w:t>亿元</w:t>
      </w:r>
      <w:r>
        <w:rPr>
          <w:rFonts w:hint="eastAsia" w:ascii="仿宋_GB2312" w:hAnsi="仿宋_GB2312" w:eastAsia="仿宋_GB2312" w:cs="仿宋_GB2312"/>
          <w:color w:val="auto"/>
          <w:kern w:val="0"/>
          <w:sz w:val="32"/>
          <w:szCs w:val="32"/>
          <w:lang w:val="en-US" w:eastAsia="zh-CN"/>
        </w:rPr>
        <w:t>；水务管理体系</w:t>
      </w:r>
      <w:r>
        <w:rPr>
          <w:rFonts w:hint="default" w:ascii="仿宋_GB2312" w:hAnsi="仿宋_GB2312" w:eastAsia="仿宋_GB2312" w:cs="仿宋_GB2312"/>
          <w:color w:val="auto"/>
          <w:kern w:val="0"/>
          <w:sz w:val="32"/>
          <w:szCs w:val="32"/>
          <w:lang w:val="en-US" w:eastAsia="zh-CN"/>
        </w:rPr>
        <w:t>投资</w:t>
      </w:r>
      <w:r>
        <w:rPr>
          <w:rFonts w:hint="eastAsia" w:ascii="仿宋_GB2312" w:hAnsi="仿宋_GB2312" w:eastAsia="仿宋_GB2312" w:cs="仿宋_GB2312"/>
          <w:color w:val="auto"/>
          <w:kern w:val="0"/>
          <w:sz w:val="32"/>
          <w:szCs w:val="32"/>
          <w:lang w:val="en-US" w:eastAsia="zh-CN"/>
        </w:rPr>
        <w:t>0.94</w:t>
      </w:r>
      <w:r>
        <w:rPr>
          <w:rFonts w:hint="default" w:ascii="仿宋_GB2312" w:hAnsi="仿宋_GB2312" w:eastAsia="仿宋_GB2312" w:cs="仿宋_GB2312"/>
          <w:color w:val="auto"/>
          <w:kern w:val="0"/>
          <w:sz w:val="32"/>
          <w:szCs w:val="32"/>
          <w:lang w:val="en-US" w:eastAsia="zh-CN"/>
        </w:rPr>
        <w:t>亿元。</w:t>
      </w:r>
    </w:p>
    <w:p>
      <w:pPr>
        <w:pStyle w:val="5"/>
        <w:pageBreakBefore w:val="0"/>
        <w:kinsoku/>
        <w:wordWrap/>
        <w:overflowPunct/>
        <w:topLinePunct w:val="0"/>
        <w:bidi w:val="0"/>
        <w:adjustRightInd w:val="0"/>
        <w:snapToGrid w:val="0"/>
        <w:spacing w:beforeLines="100" w:beforeAutospacing="0" w:after="0" w:afterAutospacing="0" w:line="360" w:lineRule="auto"/>
        <w:textAlignment w:val="auto"/>
        <w:rPr>
          <w:rFonts w:hint="default" w:ascii="楷体" w:hAnsi="楷体" w:eastAsia="楷体" w:cs="仿宋_GB2312"/>
          <w:color w:val="auto"/>
          <w:lang w:val="en-US" w:eastAsia="zh-CN"/>
        </w:rPr>
      </w:pPr>
      <w:bookmarkStart w:id="88" w:name="_Toc27036"/>
      <w:r>
        <w:rPr>
          <w:rFonts w:hint="eastAsia" w:ascii="楷体" w:hAnsi="楷体" w:eastAsia="楷体" w:cs="仿宋_GB2312"/>
          <w:color w:val="auto"/>
          <w:lang w:val="en-US" w:eastAsia="zh-CN"/>
        </w:rPr>
        <w:t>（二）实施安排</w:t>
      </w:r>
      <w:bookmarkEnd w:id="88"/>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根据全市水务改革发展的总体要求，按照轻重缓急、突出重点的原则，积极对接国家和省水务改革发展规划，初步确定项目建设时序。加快实施水库除险加固、河道治理、重点易涝区治理和山洪沟治理等防洪减灾工程；实施引黄西线、平原水库建设等水资源保障项目，实施农村生活污水治理、生态河道建设、尼山世界文明论坛水生态修复和地下水超采区治理等水生态项目，实施</w:t>
      </w:r>
      <w:r>
        <w:rPr>
          <w:rFonts w:hint="eastAsia" w:ascii="仿宋_GB2312" w:hAnsi="仿宋_GB2312" w:eastAsia="仿宋_GB2312" w:cs="仿宋_GB2312"/>
          <w:bCs/>
          <w:color w:val="auto"/>
          <w:sz w:val="32"/>
          <w:szCs w:val="32"/>
        </w:rPr>
        <w:t>防汛动态模拟试点</w:t>
      </w:r>
      <w:r>
        <w:rPr>
          <w:rFonts w:hint="eastAsia" w:ascii="仿宋_GB2312" w:hAnsi="仿宋_GB2312" w:eastAsia="仿宋_GB2312" w:cs="仿宋_GB2312"/>
          <w:bCs/>
          <w:color w:val="auto"/>
          <w:sz w:val="32"/>
          <w:szCs w:val="32"/>
          <w:lang w:val="en-US" w:eastAsia="zh-CN"/>
        </w:rPr>
        <w:t>工程</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泗河综合治理巩固提升工程信息化</w:t>
      </w:r>
      <w:r>
        <w:rPr>
          <w:rFonts w:hint="eastAsia" w:ascii="仿宋_GB2312" w:hAnsi="仿宋_GB2312" w:eastAsia="仿宋_GB2312" w:cs="仿宋_GB2312"/>
          <w:color w:val="auto"/>
          <w:sz w:val="32"/>
          <w:szCs w:val="32"/>
          <w:lang w:val="en-US" w:eastAsia="zh-CN" w:bidi="ar-SA"/>
        </w:rPr>
        <w:t>等水务信息化工程建设。2021年～2025年分别投资96.87亿元、107.40亿元、113.83亿元、51.56亿元、48.18亿元，详见附表。</w:t>
      </w:r>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p>
    <w:p>
      <w:pPr>
        <w:pStyle w:val="33"/>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p>
    <w:p>
      <w:pPr>
        <w:pStyle w:val="4"/>
        <w:pageBreakBefore w:val="0"/>
        <w:kinsoku/>
        <w:wordWrap/>
        <w:overflowPunct/>
        <w:topLinePunct w:val="0"/>
        <w:bidi w:val="0"/>
        <w:adjustRightInd w:val="0"/>
        <w:snapToGrid w:val="0"/>
        <w:spacing w:beforeLines="100" w:after="0" w:line="360" w:lineRule="auto"/>
        <w:jc w:val="center"/>
        <w:textAlignment w:val="auto"/>
        <w:rPr>
          <w:rFonts w:hint="eastAsia" w:ascii="黑体" w:hAnsi="黑体" w:eastAsia="黑体" w:cs="Times New Roman"/>
          <w:b w:val="0"/>
          <w:bCs w:val="0"/>
          <w:color w:val="auto"/>
          <w:kern w:val="2"/>
          <w:sz w:val="32"/>
          <w:szCs w:val="32"/>
        </w:rPr>
      </w:pPr>
      <w:bookmarkStart w:id="89" w:name="_Toc1215"/>
      <w:r>
        <w:rPr>
          <w:rFonts w:hint="eastAsia" w:ascii="黑体" w:hAnsi="黑体" w:eastAsia="黑体" w:cs="Times New Roman"/>
          <w:b w:val="0"/>
          <w:bCs w:val="0"/>
          <w:color w:val="auto"/>
          <w:kern w:val="2"/>
          <w:sz w:val="32"/>
          <w:szCs w:val="32"/>
          <w:lang w:val="en-US" w:eastAsia="zh-CN"/>
        </w:rPr>
        <w:t>七</w:t>
      </w:r>
      <w:r>
        <w:rPr>
          <w:rFonts w:hint="eastAsia" w:ascii="黑体" w:hAnsi="黑体" w:eastAsia="黑体" w:cs="Times New Roman"/>
          <w:b w:val="0"/>
          <w:bCs w:val="0"/>
          <w:color w:val="auto"/>
          <w:kern w:val="2"/>
          <w:sz w:val="32"/>
          <w:szCs w:val="32"/>
        </w:rPr>
        <w:t>、保障措施</w:t>
      </w:r>
      <w:bookmarkEnd w:id="89"/>
    </w:p>
    <w:p>
      <w:pPr>
        <w:pStyle w:val="5"/>
        <w:keepNext/>
        <w:keepLines/>
        <w:pageBreakBefore w:val="0"/>
        <w:widowControl w:val="0"/>
        <w:kinsoku/>
        <w:wordWrap/>
        <w:overflowPunct/>
        <w:topLinePunct w:val="0"/>
        <w:autoSpaceDE/>
        <w:autoSpaceDN/>
        <w:bidi w:val="0"/>
        <w:adjustRightInd w:val="0"/>
        <w:snapToGrid w:val="0"/>
        <w:spacing w:before="0" w:beforeAutospacing="0" w:after="0" w:afterAutospacing="0" w:line="360" w:lineRule="auto"/>
        <w:textAlignment w:val="auto"/>
        <w:rPr>
          <w:rFonts w:hint="eastAsia" w:ascii="楷体" w:hAnsi="楷体" w:eastAsia="楷体" w:cs="仿宋_GB2312"/>
          <w:color w:val="auto"/>
        </w:rPr>
      </w:pPr>
      <w:bookmarkStart w:id="90" w:name="_Toc10430"/>
      <w:r>
        <w:rPr>
          <w:rFonts w:hint="eastAsia" w:ascii="楷体" w:hAnsi="楷体" w:eastAsia="楷体" w:cs="仿宋_GB2312"/>
          <w:color w:val="auto"/>
        </w:rPr>
        <w:t>（一）加强党的全面领导</w:t>
      </w:r>
      <w:bookmarkEnd w:id="90"/>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贯彻党把方向、谋大局、定政策、促改革的要求，深入学习贯彻习近平新时代中国特色社会主义思想，增强”四个意识”、坚定“四个自信＂、做到“两个维护”，不断提高政治判断力、政治领悟力、政治执行力，充分发挥党总揽全局、协调各方的领导核心作用，把党的领导始终贯穿于水利改革发展各领域、各环节， 为增强水安全保障能力提供坚强政治保证。充分发挥全面从严治 党引领保障作用，坚定政治方向，保持政治定力，做到态度不能变、决心不能减、尺度不能松，确保“十四五”规划确定的目标任务落到实处。</w:t>
      </w:r>
    </w:p>
    <w:p>
      <w:pPr>
        <w:pStyle w:val="5"/>
        <w:keepNext/>
        <w:keepLines/>
        <w:pageBreakBefore w:val="0"/>
        <w:widowControl w:val="0"/>
        <w:kinsoku/>
        <w:wordWrap/>
        <w:overflowPunct/>
        <w:topLinePunct w:val="0"/>
        <w:autoSpaceDE/>
        <w:autoSpaceDN/>
        <w:bidi w:val="0"/>
        <w:adjustRightInd w:val="0"/>
        <w:snapToGrid w:val="0"/>
        <w:spacing w:before="0" w:beforeAutospacing="0" w:after="0" w:afterAutospacing="0" w:line="360" w:lineRule="auto"/>
        <w:textAlignment w:val="auto"/>
        <w:rPr>
          <w:rFonts w:hint="eastAsia" w:ascii="楷体" w:hAnsi="楷体" w:eastAsia="楷体" w:cs="仿宋_GB2312"/>
          <w:color w:val="auto"/>
        </w:rPr>
      </w:pPr>
      <w:bookmarkStart w:id="91" w:name="_Toc5115"/>
      <w:r>
        <w:rPr>
          <w:rFonts w:hint="eastAsia" w:ascii="楷体" w:hAnsi="楷体" w:eastAsia="楷体" w:cs="仿宋_GB2312"/>
          <w:color w:val="auto"/>
        </w:rPr>
        <w:t>（二）突出规划引领作用</w:t>
      </w:r>
      <w:bookmarkEnd w:id="91"/>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drawing>
          <wp:anchor distT="0" distB="0" distL="0" distR="0" simplePos="0" relativeHeight="15813632" behindDoc="0" locked="0" layoutInCell="1" allowOverlap="1">
            <wp:simplePos x="0" y="0"/>
            <wp:positionH relativeFrom="page">
              <wp:posOffset>7487285</wp:posOffset>
            </wp:positionH>
            <wp:positionV relativeFrom="paragraph">
              <wp:posOffset>239395</wp:posOffset>
            </wp:positionV>
            <wp:extent cx="8255" cy="1037590"/>
            <wp:effectExtent l="0" t="0" r="10795" b="10160"/>
            <wp:wrapNone/>
            <wp:docPr id="183" name="image164.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3" name="image164.png"/>
                    <pic:cNvPicPr>
                      <a:picLocks noChangeAspect="true"/>
                    </pic:cNvPicPr>
                  </pic:nvPicPr>
                  <pic:blipFill>
                    <a:blip r:embed="rId14" cstate="print"/>
                    <a:stretch>
                      <a:fillRect/>
                    </a:stretch>
                  </pic:blipFill>
                  <pic:spPr>
                    <a:xfrm>
                      <a:off x="0" y="0"/>
                      <a:ext cx="8396" cy="1037501"/>
                    </a:xfrm>
                    <a:prstGeom prst="rect">
                      <a:avLst/>
                    </a:prstGeom>
                  </pic:spPr>
                </pic:pic>
              </a:graphicData>
            </a:graphic>
          </wp:anchor>
        </w:drawing>
      </w:r>
      <w:r>
        <w:rPr>
          <w:rFonts w:hint="eastAsia" w:ascii="仿宋_GB2312" w:hAnsi="仿宋_GB2312" w:eastAsia="仿宋_GB2312" w:cs="仿宋_GB2312"/>
          <w:color w:val="auto"/>
          <w:kern w:val="0"/>
          <w:sz w:val="32"/>
          <w:szCs w:val="32"/>
          <w:lang w:val="en-US" w:eastAsia="zh-CN" w:bidi="ar-SA"/>
        </w:rPr>
        <w:drawing>
          <wp:anchor distT="0" distB="0" distL="0" distR="0" simplePos="0" relativeHeight="15813632" behindDoc="0" locked="0" layoutInCell="1" allowOverlap="1">
            <wp:simplePos x="0" y="0"/>
            <wp:positionH relativeFrom="page">
              <wp:posOffset>7475220</wp:posOffset>
            </wp:positionH>
            <wp:positionV relativeFrom="paragraph">
              <wp:posOffset>1985010</wp:posOffset>
            </wp:positionV>
            <wp:extent cx="8890" cy="744855"/>
            <wp:effectExtent l="0" t="0" r="10160" b="17145"/>
            <wp:wrapNone/>
            <wp:docPr id="185" name="image16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5" name="image165.png"/>
                    <pic:cNvPicPr>
                      <a:picLocks noChangeAspect="true"/>
                    </pic:cNvPicPr>
                  </pic:nvPicPr>
                  <pic:blipFill>
                    <a:blip r:embed="rId15" cstate="print"/>
                    <a:stretch>
                      <a:fillRect/>
                    </a:stretch>
                  </pic:blipFill>
                  <pic:spPr>
                    <a:xfrm>
                      <a:off x="0" y="0"/>
                      <a:ext cx="8794" cy="744560"/>
                    </a:xfrm>
                    <a:prstGeom prst="rect">
                      <a:avLst/>
                    </a:prstGeom>
                  </pic:spPr>
                </pic:pic>
              </a:graphicData>
            </a:graphic>
          </wp:anchor>
        </w:drawing>
      </w:r>
      <w:r>
        <w:rPr>
          <w:rFonts w:hint="eastAsia" w:ascii="仿宋_GB2312" w:hAnsi="仿宋_GB2312" w:eastAsia="仿宋_GB2312" w:cs="仿宋_GB2312"/>
          <w:color w:val="auto"/>
          <w:kern w:val="0"/>
          <w:sz w:val="32"/>
          <w:szCs w:val="32"/>
          <w:lang w:val="en-US" w:eastAsia="zh-CN" w:bidi="ar-SA"/>
        </w:rPr>
        <w:t>本规划是指导“十四五”时期全市水务改革发展的纲领性文件，要坚持一张蓝图绘到底，切实发挥发展规划的战略导向和引领约束作用。水务各专项规划、实施方案要与本规划有机衔接，确保发展方向、目标指标、重大政策、重大工程等协调统一。各县市区水利发展规划、区域发展水利专项规划应加强对本规划发展 战略和任务目标的贯彻落实。</w:t>
      </w:r>
    </w:p>
    <w:p>
      <w:pPr>
        <w:pStyle w:val="5"/>
        <w:keepNext/>
        <w:keepLines/>
        <w:pageBreakBefore w:val="0"/>
        <w:widowControl w:val="0"/>
        <w:kinsoku/>
        <w:wordWrap/>
        <w:overflowPunct/>
        <w:topLinePunct w:val="0"/>
        <w:autoSpaceDE/>
        <w:autoSpaceDN/>
        <w:bidi w:val="0"/>
        <w:adjustRightInd w:val="0"/>
        <w:snapToGrid w:val="0"/>
        <w:spacing w:before="0" w:beforeAutospacing="0" w:after="0" w:afterAutospacing="0" w:line="360" w:lineRule="auto"/>
        <w:textAlignment w:val="auto"/>
        <w:rPr>
          <w:rFonts w:hint="eastAsia" w:ascii="楷体" w:hAnsi="楷体" w:eastAsia="楷体" w:cs="仿宋_GB2312"/>
          <w:color w:val="auto"/>
        </w:rPr>
      </w:pPr>
      <w:bookmarkStart w:id="92" w:name="_Toc26181"/>
      <w:r>
        <w:rPr>
          <w:rFonts w:hint="eastAsia" w:ascii="楷体" w:hAnsi="楷体" w:eastAsia="楷体" w:cs="仿宋_GB2312"/>
          <w:color w:val="auto"/>
        </w:rPr>
        <w:t>（</w:t>
      </w:r>
      <w:r>
        <w:rPr>
          <w:rFonts w:hint="eastAsia" w:ascii="楷体" w:hAnsi="楷体" w:eastAsia="楷体" w:cs="仿宋_GB2312"/>
          <w:color w:val="auto"/>
          <w:lang w:val="en-US" w:eastAsia="zh-CN"/>
        </w:rPr>
        <w:t>三</w:t>
      </w:r>
      <w:r>
        <w:rPr>
          <w:rFonts w:hint="eastAsia" w:ascii="楷体" w:hAnsi="楷体" w:eastAsia="楷体" w:cs="仿宋_GB2312"/>
          <w:color w:val="auto"/>
        </w:rPr>
        <w:t>）强化要素支撑保障</w:t>
      </w:r>
      <w:bookmarkEnd w:id="92"/>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落实“要素跟着项目走”要求，强化水利建设项目与资金、土地、环境、能耗等要素统筹和精准对接。加大各级财政对水利支持力度，鼓励社会资本参与水利工程建设，切实保障水利建设资金需求。加强水利规划与国土空间规划衔接，抓好项目规划选址、用地预审、环境影响评价等要件办理，协调解决征地移民中的重大问题，积极落实建设条件。扎实推进项目前期工作，保障规划确定的重点项目顺利实施。</w:t>
      </w:r>
    </w:p>
    <w:p>
      <w:pPr>
        <w:pStyle w:val="5"/>
        <w:keepNext/>
        <w:keepLines/>
        <w:pageBreakBefore w:val="0"/>
        <w:widowControl w:val="0"/>
        <w:kinsoku/>
        <w:wordWrap/>
        <w:overflowPunct/>
        <w:topLinePunct w:val="0"/>
        <w:autoSpaceDE/>
        <w:autoSpaceDN/>
        <w:bidi w:val="0"/>
        <w:adjustRightInd w:val="0"/>
        <w:snapToGrid w:val="0"/>
        <w:spacing w:before="0" w:beforeAutospacing="0" w:after="0" w:afterAutospacing="0" w:line="360" w:lineRule="auto"/>
        <w:textAlignment w:val="auto"/>
        <w:rPr>
          <w:rFonts w:hint="eastAsia" w:ascii="楷体" w:hAnsi="楷体" w:eastAsia="楷体" w:cs="仿宋_GB2312"/>
          <w:color w:val="auto"/>
        </w:rPr>
      </w:pPr>
      <w:bookmarkStart w:id="93" w:name="_Toc9815"/>
      <w:r>
        <w:rPr>
          <w:rFonts w:hint="eastAsia" w:ascii="楷体" w:hAnsi="楷体" w:eastAsia="楷体" w:cs="仿宋_GB2312"/>
          <w:color w:val="auto"/>
        </w:rPr>
        <w:t>（四）完善规划实施机制</w:t>
      </w:r>
      <w:bookmarkEnd w:id="93"/>
    </w:p>
    <w:p>
      <w:pPr>
        <w:pStyle w:val="3"/>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在省重点水利工程建设联席会议领导下，深入研究水利改革发展重大事项，统筹解决规划实施中遇到的重大问题，着力破解规划实施的关键性和深层次制约。严格落实责任主体，制定规划重点任务分工方案，明确细化任务落实的时间表和路线图，建立健全规划实施评估机制。实行省级统筹、市负总贵、县抓落实的规划实施工作机制，强化部门协作配合，合力推进规划落地实施。</w:t>
      </w:r>
    </w:p>
    <w:p>
      <w:pPr>
        <w:pStyle w:val="5"/>
        <w:keepNext/>
        <w:keepLines/>
        <w:pageBreakBefore w:val="0"/>
        <w:widowControl w:val="0"/>
        <w:kinsoku/>
        <w:wordWrap/>
        <w:overflowPunct/>
        <w:topLinePunct w:val="0"/>
        <w:autoSpaceDE/>
        <w:autoSpaceDN/>
        <w:bidi w:val="0"/>
        <w:adjustRightInd w:val="0"/>
        <w:snapToGrid w:val="0"/>
        <w:spacing w:before="0" w:beforeAutospacing="0" w:after="0" w:afterAutospacing="0" w:line="360" w:lineRule="auto"/>
        <w:textAlignment w:val="auto"/>
        <w:rPr>
          <w:rFonts w:hint="eastAsia" w:ascii="楷体" w:hAnsi="楷体" w:eastAsia="楷体" w:cs="仿宋_GB2312"/>
          <w:color w:val="auto"/>
        </w:rPr>
      </w:pPr>
      <w:bookmarkStart w:id="94" w:name="_Toc10369"/>
      <w:r>
        <w:rPr>
          <w:rFonts w:hint="eastAsia" w:ascii="楷体" w:hAnsi="楷体" w:eastAsia="楷体" w:cs="仿宋_GB2312"/>
          <w:color w:val="auto"/>
        </w:rPr>
        <w:t>（</w:t>
      </w:r>
      <w:r>
        <w:rPr>
          <w:rFonts w:hint="eastAsia" w:ascii="楷体" w:hAnsi="楷体" w:eastAsia="楷体" w:cs="仿宋_GB2312"/>
          <w:color w:val="auto"/>
          <w:lang w:val="en-US" w:eastAsia="zh-CN"/>
        </w:rPr>
        <w:t>五</w:t>
      </w:r>
      <w:r>
        <w:rPr>
          <w:rFonts w:hint="eastAsia" w:ascii="楷体" w:hAnsi="楷体" w:eastAsia="楷体" w:cs="仿宋_GB2312"/>
          <w:color w:val="auto"/>
        </w:rPr>
        <w:t>）广泛凝聚治水合力</w:t>
      </w:r>
      <w:bookmarkEnd w:id="94"/>
    </w:p>
    <w:p>
      <w:pPr>
        <w:pageBreakBefore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构建政府主导引领、社会协同推进、公众积极参与的治水兴水新格局。加强宣传引导，强化水情教育，增强水安全风险防范意识，提升全民节水、爱水、亲水、护水观念。广泛凝聚共识，扩大社会参与，调动各方力量投身水利建设实践。拓宽公众参与渠道，加强社会舆论监督，形成全社会治水兴水合力。</w:t>
      </w:r>
    </w:p>
    <w:p>
      <w:pPr>
        <w:pStyle w:val="5"/>
        <w:keepNext/>
        <w:keepLines/>
        <w:pageBreakBefore w:val="0"/>
        <w:widowControl w:val="0"/>
        <w:kinsoku/>
        <w:wordWrap/>
        <w:overflowPunct/>
        <w:topLinePunct w:val="0"/>
        <w:autoSpaceDE/>
        <w:autoSpaceDN/>
        <w:bidi w:val="0"/>
        <w:adjustRightInd w:val="0"/>
        <w:snapToGrid w:val="0"/>
        <w:spacing w:before="0" w:beforeAutospacing="0" w:after="0" w:afterAutospacing="0" w:line="360" w:lineRule="auto"/>
        <w:textAlignment w:val="auto"/>
        <w:rPr>
          <w:rFonts w:hint="eastAsia" w:ascii="楷体" w:hAnsi="楷体" w:eastAsia="楷体" w:cs="仿宋_GB2312"/>
          <w:color w:val="auto"/>
        </w:rPr>
      </w:pPr>
      <w:bookmarkStart w:id="95" w:name="_Toc5203_WPSOffice_Level2"/>
      <w:bookmarkStart w:id="96" w:name="_Toc25940"/>
      <w:r>
        <w:rPr>
          <w:rFonts w:hint="eastAsia" w:ascii="楷体" w:hAnsi="楷体" w:eastAsia="楷体" w:cs="仿宋_GB2312"/>
          <w:color w:val="auto"/>
        </w:rPr>
        <w:t>（</w:t>
      </w:r>
      <w:r>
        <w:rPr>
          <w:rFonts w:hint="eastAsia" w:ascii="楷体" w:hAnsi="楷体" w:eastAsia="楷体" w:cs="仿宋_GB2312"/>
          <w:color w:val="auto"/>
          <w:lang w:val="en-US" w:eastAsia="zh-CN"/>
        </w:rPr>
        <w:t>六</w:t>
      </w:r>
      <w:r>
        <w:rPr>
          <w:rFonts w:hint="eastAsia" w:ascii="楷体" w:hAnsi="楷体" w:eastAsia="楷体" w:cs="仿宋_GB2312"/>
          <w:color w:val="auto"/>
        </w:rPr>
        <w:t>）严格</w:t>
      </w:r>
      <w:r>
        <w:rPr>
          <w:rFonts w:hint="eastAsia" w:ascii="楷体" w:hAnsi="楷体" w:eastAsia="楷体" w:cs="仿宋_GB2312"/>
          <w:color w:val="auto"/>
          <w:lang w:val="en-US" w:eastAsia="zh-CN"/>
        </w:rPr>
        <w:t>监督</w:t>
      </w:r>
      <w:r>
        <w:rPr>
          <w:rFonts w:hint="eastAsia" w:ascii="楷体" w:hAnsi="楷体" w:eastAsia="楷体" w:cs="仿宋_GB2312"/>
          <w:color w:val="auto"/>
        </w:rPr>
        <w:t>评估</w:t>
      </w:r>
      <w:bookmarkEnd w:id="95"/>
      <w:bookmarkEnd w:id="96"/>
    </w:p>
    <w:p>
      <w:pPr>
        <w:pStyle w:val="33"/>
        <w:pageBreakBefore w:val="0"/>
        <w:kinsoku/>
        <w:wordWrap/>
        <w:overflowPunct/>
        <w:topLinePunct w:val="0"/>
        <w:bidi w:val="0"/>
        <w:adjustRightInd w:val="0"/>
        <w:snapToGrid w:val="0"/>
        <w:spacing w:after="140"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建立规划实施督促检查机制，加强对规划目标指标和重点任务完成情况的跟踪督办。适时开展规划实施情况评估，分析实施效果及存在问题，提升规划的指导性和适应性。</w:t>
      </w:r>
    </w:p>
    <w:p>
      <w:pPr>
        <w:pStyle w:val="33"/>
        <w:pageBreakBefore w:val="0"/>
        <w:kinsoku/>
        <w:wordWrap/>
        <w:overflowPunct/>
        <w:topLinePunct w:val="0"/>
        <w:bidi w:val="0"/>
        <w:spacing w:after="140" w:line="360" w:lineRule="auto"/>
        <w:ind w:firstLine="640" w:firstLineChars="200"/>
        <w:textAlignment w:val="auto"/>
        <w:rPr>
          <w:rFonts w:hint="eastAsia" w:ascii="仿宋_GB2312" w:hAnsi="仿宋_GB2312" w:eastAsia="仿宋_GB2312" w:cs="仿宋_GB2312"/>
          <w:color w:val="auto"/>
          <w:sz w:val="32"/>
          <w:szCs w:val="32"/>
          <w:lang w:val="en-US" w:eastAsia="zh-CN" w:bidi="ar-SA"/>
        </w:rPr>
        <w:sectPr>
          <w:footerReference r:id="rId12" w:type="default"/>
          <w:pgSz w:w="11906" w:h="16838"/>
          <w:pgMar w:top="1440" w:right="1416" w:bottom="1440" w:left="1474" w:header="851" w:footer="992" w:gutter="0"/>
          <w:pgBorders>
            <w:top w:val="none" w:sz="0" w:space="0"/>
            <w:left w:val="none" w:sz="0" w:space="0"/>
            <w:bottom w:val="none" w:sz="0" w:space="0"/>
            <w:right w:val="none" w:sz="0" w:space="0"/>
          </w:pgBorders>
          <w:pgNumType w:start="1" w:chapStyle="1"/>
          <w:cols w:space="0" w:num="1"/>
          <w:docGrid w:type="lines" w:linePitch="312" w:charSpace="0"/>
        </w:sectPr>
      </w:pPr>
    </w:p>
    <w:tbl>
      <w:tblPr>
        <w:tblStyle w:val="2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39"/>
        <w:gridCol w:w="1728"/>
        <w:gridCol w:w="719"/>
        <w:gridCol w:w="613"/>
        <w:gridCol w:w="613"/>
        <w:gridCol w:w="727"/>
        <w:gridCol w:w="613"/>
        <w:gridCol w:w="613"/>
        <w:gridCol w:w="615"/>
        <w:gridCol w:w="613"/>
        <w:gridCol w:w="613"/>
        <w:gridCol w:w="615"/>
        <w:gridCol w:w="613"/>
        <w:gridCol w:w="543"/>
        <w:gridCol w:w="618"/>
        <w:gridCol w:w="613"/>
        <w:gridCol w:w="557"/>
        <w:gridCol w:w="615"/>
        <w:gridCol w:w="613"/>
        <w:gridCol w:w="557"/>
        <w:gridCol w:w="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blHeader/>
        </w:trPr>
        <w:tc>
          <w:tcPr>
            <w:tcW w:w="5000" w:type="pct"/>
            <w:gridSpan w:val="2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Style w:val="46"/>
                <w:lang w:val="en-US" w:eastAsia="zh-CN" w:bidi="ar"/>
              </w:rPr>
              <w:t>济宁市</w:t>
            </w:r>
            <w:r>
              <w:rPr>
                <w:rFonts w:hint="default" w:ascii="宋体" w:hAnsi="宋体" w:eastAsia="黑体" w:cs="宋体"/>
                <w:i w:val="0"/>
                <w:color w:val="000000"/>
                <w:kern w:val="0"/>
                <w:sz w:val="24"/>
                <w:szCs w:val="24"/>
                <w:u w:val="none"/>
                <w:lang w:val="en-US" w:eastAsia="zh-CN" w:bidi="ar"/>
              </w:rPr>
              <w:t>“</w:t>
            </w:r>
            <w:r>
              <w:rPr>
                <w:rStyle w:val="46"/>
                <w:lang w:val="en-US" w:eastAsia="zh-CN" w:bidi="ar"/>
              </w:rPr>
              <w:t>十四五</w:t>
            </w:r>
            <w:r>
              <w:rPr>
                <w:rFonts w:hint="default" w:ascii="宋体" w:hAnsi="宋体" w:eastAsia="黑体" w:cs="宋体"/>
                <w:i w:val="0"/>
                <w:color w:val="000000"/>
                <w:kern w:val="0"/>
                <w:sz w:val="24"/>
                <w:szCs w:val="24"/>
                <w:u w:val="none"/>
                <w:lang w:val="en-US" w:eastAsia="zh-CN" w:bidi="ar"/>
              </w:rPr>
              <w:t>”</w:t>
            </w:r>
            <w:r>
              <w:rPr>
                <w:rStyle w:val="46"/>
                <w:lang w:val="en-US" w:eastAsia="zh-CN" w:bidi="ar"/>
              </w:rPr>
              <w:t>城乡水务发展规划重大工程项目分年度实施计划表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 w:hRule="atLeast"/>
          <w:tblHeader/>
        </w:trPr>
        <w:tc>
          <w:tcPr>
            <w:tcW w:w="19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61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项目名称</w:t>
            </w:r>
          </w:p>
        </w:tc>
        <w:tc>
          <w:tcPr>
            <w:tcW w:w="4187" w:type="pct"/>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投资安排（亿元）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blHeader/>
        </w:trPr>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955"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“十四五”投资</w:t>
            </w:r>
          </w:p>
        </w:tc>
        <w:tc>
          <w:tcPr>
            <w:tcW w:w="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2021年</w:t>
            </w:r>
          </w:p>
        </w:tc>
        <w:tc>
          <w:tcPr>
            <w:tcW w:w="65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2022年</w:t>
            </w:r>
          </w:p>
        </w:tc>
        <w:tc>
          <w:tcPr>
            <w:tcW w:w="63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2023年</w:t>
            </w:r>
          </w:p>
        </w:tc>
        <w:tc>
          <w:tcPr>
            <w:tcW w:w="638"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2024年</w:t>
            </w:r>
          </w:p>
        </w:tc>
        <w:tc>
          <w:tcPr>
            <w:tcW w:w="644"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blHeader/>
        </w:trPr>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  计</w:t>
            </w: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省以上投资</w:t>
            </w: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市级投资</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县级投资</w:t>
            </w: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省以上投资</w:t>
            </w: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市级投资</w:t>
            </w: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县级投资</w:t>
            </w: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省以上投资</w:t>
            </w: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市级投资</w:t>
            </w: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县级投资</w:t>
            </w: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省以上投资</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市级投资</w:t>
            </w:r>
          </w:p>
        </w:tc>
        <w:tc>
          <w:tcPr>
            <w:tcW w:w="2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县级投资</w:t>
            </w: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省以上投资</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市级投资</w:t>
            </w: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县级投资</w:t>
            </w:r>
          </w:p>
        </w:tc>
        <w:tc>
          <w:tcPr>
            <w:tcW w:w="2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省以上投资</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市级投资</w:t>
            </w:r>
          </w:p>
        </w:tc>
        <w:tc>
          <w:tcPr>
            <w:tcW w:w="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县级投资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总投资</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417.84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92.51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37.61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287.72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16.19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20.42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60.26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17.53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10.64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79.24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18.68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3.50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91.65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19.65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1.42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30.49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20.47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1.63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26.08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一</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防洪排涝工程体系</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b/>
                <w:i w:val="0"/>
                <w:color w:val="000000"/>
                <w:kern w:val="0"/>
                <w:sz w:val="16"/>
                <w:szCs w:val="16"/>
                <w:u w:val="none"/>
                <w:lang w:val="en-US" w:eastAsia="zh-CN" w:bidi="ar"/>
              </w:rPr>
              <w:t>141.22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22.93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4.27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114.02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6.53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0.76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30.21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2.77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1.06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36.04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4.69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1.03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42.75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2.85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0.53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2.27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6.10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0.88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洪水</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48.73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21.73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4.27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22.74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6.53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0.76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8.28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2.37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1.06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4.49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4.29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1.03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2.45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0.53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6.10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0.88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控制性枢纽建设</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7.99</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6.19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0.90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0.90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4.79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蓄滞洪区建设</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0.01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0.01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0.55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0.19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骨干河道治理（面积3000km</w:t>
            </w:r>
            <w:r>
              <w:rPr>
                <w:rStyle w:val="47"/>
                <w:lang w:val="en-US" w:eastAsia="zh-CN" w:bidi="ar"/>
              </w:rPr>
              <w:t>2</w:t>
            </w:r>
            <w:r>
              <w:rPr>
                <w:rFonts w:hint="eastAsia" w:ascii="宋体" w:hAnsi="宋体" w:eastAsia="宋体" w:cs="宋体"/>
                <w:i w:val="0"/>
                <w:color w:val="000000"/>
                <w:kern w:val="0"/>
                <w:sz w:val="16"/>
                <w:szCs w:val="16"/>
                <w:u w:val="none"/>
                <w:lang w:val="en-US" w:eastAsia="zh-CN" w:bidi="ar"/>
              </w:rPr>
              <w:t>以上）</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1.28</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0.19</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1.73</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1.08</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1.48</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0.05</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中小河道治理（面积200～3000km</w:t>
            </w:r>
            <w:r>
              <w:rPr>
                <w:rStyle w:val="47"/>
                <w:lang w:val="en-US" w:eastAsia="zh-CN" w:bidi="ar"/>
              </w:rPr>
              <w:t>2</w:t>
            </w:r>
            <w:r>
              <w:rPr>
                <w:rFonts w:hint="eastAsia" w:ascii="宋体" w:hAnsi="宋体" w:eastAsia="宋体" w:cs="宋体"/>
                <w:i w:val="0"/>
                <w:color w:val="000000"/>
                <w:kern w:val="0"/>
                <w:sz w:val="16"/>
                <w:szCs w:val="16"/>
                <w:u w:val="none"/>
                <w:lang w:val="en-US" w:eastAsia="zh-CN" w:bidi="ar"/>
              </w:rPr>
              <w:t>）</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22.74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8.27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1.74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12.74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3.27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0.19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4.24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0.43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2.87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0.73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3.55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0.74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0.92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0.78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0.20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大中型病险水库除险加固</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0.86</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0.43</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0.13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0.43</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大中型病险水闸除险加固</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4.24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0.09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3.12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0.19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0.36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0.03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0.19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0.03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0.28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0.03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小型病险水库除险加固</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1.90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0.04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0.06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0.02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重点山洪沟治理</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0.46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1.36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0.16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0.10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0.05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水旱灾害防御项目</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4.44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1.17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0.956</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0.2715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0.1375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0.956</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0.6315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0.1375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0.95</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0.27</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0.13</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涝水</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92.48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91.29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21.93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31.55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0.40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37.71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涝洼地治理</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34.41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33.22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10.44</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11.54</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11.14</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防洪除涝三年行动工程</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58.07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58.07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11.49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20.01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26.57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二</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水资源保障体系</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128.24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40.84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25.69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61.71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5.66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16.87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7.61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8.28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6.69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13.51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8.42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0.50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18.69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10.30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0.50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11.92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8.20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0.37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9.99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节水</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17.55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9.94</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7.61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0.72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3.08</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1.91</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2.64</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1.47</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2.31</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新建灌区</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4.07</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3.07</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0.44</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0.76</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0.71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大中型灌区续建配套与节水改造</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13.48</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8.94</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4.54</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0.28</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3.08</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1.51</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2.34</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0.76</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蓄水</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43.24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17.75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24.72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0.95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2.33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4.48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7.11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5.17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6.78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4.85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新建平原水库</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16.56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2.06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0.76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13.74 </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0.20 </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0.50 </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0.30 </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0.38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1.67 </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0.39 </w:t>
            </w:r>
          </w:p>
        </w:tc>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0.38 </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2.49 </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0.43 </w:t>
            </w:r>
          </w:p>
        </w:tc>
        <w:tc>
          <w:tcPr>
            <w:tcW w:w="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4.17 </w:t>
            </w:r>
          </w:p>
        </w:tc>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0.74 </w:t>
            </w:r>
          </w:p>
        </w:tc>
        <w:tc>
          <w:tcPr>
            <w:tcW w:w="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新建小型水源工程</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0.98</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0.105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0.245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0.105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0.245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0.105</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0.245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0.105</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0.245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污水再生处理利用工程</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7.74</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1.68</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1.37</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大中型水库增容</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0.99</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新建、改建河道拦蓄工程</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5.66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4.23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0.55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0.21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0.85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0.26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0.51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地下水超采区治理与修复</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8.26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7.63</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0.63</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0.03</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2.23</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供水</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67.45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13.15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24.93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29.38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4.71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16.87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5.61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6.69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8.95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2.03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0.50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9.67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2.49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0.5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3.67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1.04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0.37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跨流域（区域）调水工程</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31.38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18.06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8.29</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3.15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12.65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1.94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5.41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0.5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城乡供水一体化项目</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26.32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5.08</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6.39</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14.85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2.83</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0.69</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5.116</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0.38</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5.507</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0.917</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0.37</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抗旱水源工程</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2.378</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0.48</w:t>
            </w:r>
          </w:p>
        </w:tc>
        <w:tc>
          <w:tcPr>
            <w:tcW w:w="72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4.692</w:t>
            </w:r>
          </w:p>
        </w:tc>
        <w:tc>
          <w:tcPr>
            <w:tcW w:w="61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0.51</w:t>
            </w:r>
          </w:p>
        </w:tc>
        <w:tc>
          <w:tcPr>
            <w:tcW w:w="61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0.12</w:t>
            </w:r>
          </w:p>
        </w:tc>
        <w:tc>
          <w:tcPr>
            <w:tcW w:w="6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0.84</w:t>
            </w:r>
          </w:p>
        </w:tc>
        <w:tc>
          <w:tcPr>
            <w:tcW w:w="61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0.58</w:t>
            </w:r>
          </w:p>
        </w:tc>
        <w:tc>
          <w:tcPr>
            <w:tcW w:w="61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0.12</w:t>
            </w:r>
          </w:p>
        </w:tc>
        <w:tc>
          <w:tcPr>
            <w:tcW w:w="6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1.12</w:t>
            </w:r>
          </w:p>
        </w:tc>
        <w:tc>
          <w:tcPr>
            <w:tcW w:w="61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0.664</w:t>
            </w:r>
          </w:p>
        </w:tc>
        <w:tc>
          <w:tcPr>
            <w:tcW w:w="54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0.12</w:t>
            </w:r>
          </w:p>
        </w:tc>
        <w:tc>
          <w:tcPr>
            <w:tcW w:w="61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1.456</w:t>
            </w:r>
          </w:p>
        </w:tc>
        <w:tc>
          <w:tcPr>
            <w:tcW w:w="61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0.624</w:t>
            </w:r>
          </w:p>
        </w:tc>
        <w:tc>
          <w:tcPr>
            <w:tcW w:w="55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0.12</w:t>
            </w:r>
          </w:p>
        </w:tc>
        <w:tc>
          <w:tcPr>
            <w:tcW w:w="6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1.276</w:t>
            </w:r>
          </w:p>
        </w:tc>
        <w:tc>
          <w:tcPr>
            <w:tcW w:w="61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城市应急备用水源工程</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0.66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0.58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0.22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0.58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0.22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三</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水生态体系</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144.41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28.47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6.45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109.49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3.77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2.29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22.24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6.46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1.91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28.70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5.58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1.39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29.09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6.50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0.39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16.20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6.17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0.38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13.35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污水</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66.68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60.68</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18.42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0.7</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17.9</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18.94</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污水处理提升工程</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66.68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60.68</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18.42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0.7</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17.9</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18.94</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水土保持</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0.01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0.01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0.01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0.77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0.21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0.23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0.23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河湖生态保护与修复</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66.59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17.95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2.34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46.30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3.59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9.47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4.49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11.73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4.45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河湖生态保护与修复工程</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38.81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9.77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0.92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28.12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0.99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2.34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6.20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1.87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0.19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5.61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2.30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0.17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7.32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2.27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0.16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农村水系综合整治</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15.01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0.44</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8.82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0.92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0.91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1.22</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1.81</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0.22</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河湖水系连通</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11.67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0.98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8.48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0.68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1.66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0.58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0.44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0.38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0.38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水源保护</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0.88</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0.16</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0.64</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0.06</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0.24</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移民</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7.42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7.42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1.48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1.48 </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1.48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1.49 </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四</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水务信息化体系</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3.03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0.21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1.3</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1.52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0.21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0.2</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0.82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智慧水务新型基础设施</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0.3</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一体化业务应用平台</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1.43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0.21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0.40 </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0.82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0.82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重点水利工程运行管理平台</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业务应用提升工程</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0.60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0.4</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0.2</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五</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水务管理体系</w:t>
            </w:r>
          </w:p>
        </w:tc>
        <w:tc>
          <w:tcPr>
            <w:tcW w:w="7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0.94 </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0.04</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0.9</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0.02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0.02</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0.5</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0.3</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0.1</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0</w:t>
            </w:r>
          </w:p>
        </w:tc>
      </w:tr>
    </w:tbl>
    <w:p>
      <w:pPr>
        <w:pStyle w:val="33"/>
        <w:pageBreakBefore w:val="0"/>
        <w:kinsoku/>
        <w:wordWrap/>
        <w:overflowPunct/>
        <w:topLinePunct w:val="0"/>
        <w:bidi w:val="0"/>
        <w:spacing w:after="140" w:line="360" w:lineRule="auto"/>
        <w:ind w:left="0" w:leftChars="0" w:firstLine="0" w:firstLineChars="0"/>
        <w:textAlignment w:val="auto"/>
        <w:rPr>
          <w:rFonts w:hint="eastAsia" w:ascii="仿宋_GB2312" w:hAnsi="仿宋_GB2312" w:eastAsia="仿宋_GB2312" w:cs="仿宋_GB2312"/>
          <w:color w:val="auto"/>
          <w:sz w:val="32"/>
          <w:szCs w:val="32"/>
          <w:lang w:val="en-US" w:eastAsia="zh-CN" w:bidi="ar-SA"/>
        </w:rPr>
      </w:pPr>
    </w:p>
    <w:p>
      <w:pPr>
        <w:pStyle w:val="33"/>
        <w:pageBreakBefore w:val="0"/>
        <w:kinsoku/>
        <w:wordWrap/>
        <w:overflowPunct/>
        <w:topLinePunct w:val="0"/>
        <w:bidi w:val="0"/>
        <w:spacing w:after="140"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p>
    <w:p>
      <w:pPr>
        <w:pStyle w:val="33"/>
        <w:pageBreakBefore w:val="0"/>
        <w:kinsoku/>
        <w:wordWrap/>
        <w:overflowPunct/>
        <w:topLinePunct w:val="0"/>
        <w:bidi w:val="0"/>
        <w:spacing w:after="140"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p>
    <w:p>
      <w:pPr>
        <w:pStyle w:val="33"/>
        <w:pageBreakBefore w:val="0"/>
        <w:kinsoku/>
        <w:wordWrap/>
        <w:overflowPunct/>
        <w:topLinePunct w:val="0"/>
        <w:bidi w:val="0"/>
        <w:spacing w:after="140" w:line="360" w:lineRule="auto"/>
        <w:ind w:firstLine="640" w:firstLineChars="200"/>
        <w:textAlignment w:val="auto"/>
        <w:rPr>
          <w:rFonts w:hint="eastAsia" w:ascii="仿宋_GB2312" w:hAnsi="仿宋_GB2312" w:eastAsia="仿宋_GB2312" w:cs="仿宋_GB2312"/>
          <w:color w:val="auto"/>
          <w:sz w:val="32"/>
          <w:szCs w:val="32"/>
          <w:lang w:val="en-US" w:eastAsia="zh-CN" w:bidi="ar-SA"/>
        </w:rPr>
      </w:pPr>
    </w:p>
    <w:p>
      <w:pPr>
        <w:pageBreakBefore w:val="0"/>
        <w:kinsoku/>
        <w:wordWrap/>
        <w:overflowPunct/>
        <w:topLinePunct w:val="0"/>
        <w:bidi w:val="0"/>
        <w:adjustRightInd w:val="0"/>
        <w:snapToGrid w:val="0"/>
        <w:spacing w:line="360" w:lineRule="auto"/>
        <w:textAlignment w:val="auto"/>
        <w:rPr>
          <w:rFonts w:ascii="仿宋_GB2312" w:hAnsi="仿宋_GB2312" w:eastAsia="仿宋_GB2312" w:cs="仿宋_GB2312"/>
          <w:color w:val="auto"/>
          <w:sz w:val="32"/>
          <w:szCs w:val="32"/>
        </w:rPr>
      </w:pPr>
    </w:p>
    <w:sectPr>
      <w:pgSz w:w="16838" w:h="11906" w:orient="landscape"/>
      <w:pgMar w:top="1474" w:right="1440" w:bottom="1417" w:left="1440" w:header="851" w:footer="992" w:gutter="0"/>
      <w:pgBorders>
        <w:top w:val="none" w:sz="0" w:space="0"/>
        <w:left w:val="none" w:sz="0" w:space="0"/>
        <w:bottom w:val="none" w:sz="0" w:space="0"/>
        <w:right w:val="none" w:sz="0" w:space="0"/>
      </w:pgBorders>
      <w:pgNumType w:chapStyle="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4"/>
                            <w:ind w:firstLine="360"/>
                            <w:rPr>
                              <w:rStyle w:val="23"/>
                            </w:rPr>
                          </w:pPr>
                          <w:r>
                            <w:fldChar w:fldCharType="begin"/>
                          </w:r>
                          <w:r>
                            <w:rPr>
                              <w:rStyle w:val="23"/>
                            </w:rPr>
                            <w:instrText xml:space="preserve">PAGE  </w:instrText>
                          </w:r>
                          <w:r>
                            <w:fldChar w:fldCharType="separate"/>
                          </w:r>
                          <w:r>
                            <w:rPr>
                              <w:rStyle w:val="23"/>
                            </w:rPr>
                            <w:t>- 2 -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VQQhIgIAADc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uVUEISICAAA3BAAADgAAAAAAAAABACAAAAA1AQAAZHJzL2Uyb0RvYy54&#10;bWxQSwUGAAAAAAYABgBZAQAAyQUAAAAA&#10;">
              <v:fill on="f" focussize="0,0"/>
              <v:stroke on="f" weight="0.5pt"/>
              <v:imagedata o:title=""/>
              <o:lock v:ext="edit" aspectratio="f"/>
              <v:textbox inset="0mm,0mm,0mm,0mm" style="mso-fit-shape-to-text:t;">
                <w:txbxContent>
                  <w:p>
                    <w:pPr>
                      <w:pStyle w:val="14"/>
                      <w:ind w:firstLine="360"/>
                      <w:rPr>
                        <w:rStyle w:val="23"/>
                      </w:rPr>
                    </w:pPr>
                    <w:r>
                      <w:fldChar w:fldCharType="begin"/>
                    </w:r>
                    <w:r>
                      <w:rPr>
                        <w:rStyle w:val="23"/>
                      </w:rPr>
                      <w:instrText xml:space="preserve">PAGE  </w:instrText>
                    </w:r>
                    <w:r>
                      <w:fldChar w:fldCharType="separate"/>
                    </w:r>
                    <w:r>
                      <w:rPr>
                        <w:rStyle w:val="23"/>
                      </w:rPr>
                      <w:t>- 2 -</w:t>
                    </w:r>
                    <w:r>
                      <w:fldChar w:fldCharType="end"/>
                    </w:r>
                  </w:p>
                </w:txbxContent>
              </v:textbox>
            </v:shape>
          </w:pict>
        </mc:Fallback>
      </mc:AlternateContent>
    </w:r>
  </w:p>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ind w:firstLine="360"/>
      <w:rPr>
        <w:rStyle w:val="23"/>
      </w:rPr>
    </w:pPr>
    <w:r>
      <w:fldChar w:fldCharType="begin"/>
    </w:r>
    <w:r>
      <w:rPr>
        <w:rStyle w:val="23"/>
      </w:rPr>
      <w:instrText xml:space="preserve">PAGE  </w:instrText>
    </w:r>
    <w: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4"/>
                            <w:ind w:firstLine="360"/>
                            <w:rPr>
                              <w:rStyle w:val="23"/>
                            </w:rPr>
                          </w:pPr>
                          <w:r>
                            <w:fldChar w:fldCharType="begin"/>
                          </w:r>
                          <w:r>
                            <w:rPr>
                              <w:rStyle w:val="23"/>
                            </w:rPr>
                            <w:instrText xml:space="preserve">PAGE  </w:instrText>
                          </w:r>
                          <w:r>
                            <w:fldChar w:fldCharType="separate"/>
                          </w:r>
                          <w:r>
                            <w:rPr>
                              <w:rStyle w:val="23"/>
                            </w:rPr>
                            <w:t>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LyS7wIQIAADcEAAAOAAAAAAAAAAEAIAAAADUBAABkcnMvZTJvRG9jLnht&#10;bFBLBQYAAAAABgAGAFkBAADIBQAAAAA=&#10;">
              <v:fill on="f" focussize="0,0"/>
              <v:stroke on="f" weight="0.5pt"/>
              <v:imagedata o:title=""/>
              <o:lock v:ext="edit" aspectratio="f"/>
              <v:textbox inset="0mm,0mm,0mm,0mm" style="mso-fit-shape-to-text:t;">
                <w:txbxContent>
                  <w:p>
                    <w:pPr>
                      <w:pStyle w:val="14"/>
                      <w:ind w:firstLine="360"/>
                      <w:rPr>
                        <w:rStyle w:val="23"/>
                      </w:rPr>
                    </w:pPr>
                    <w:r>
                      <w:fldChar w:fldCharType="begin"/>
                    </w:r>
                    <w:r>
                      <w:rPr>
                        <w:rStyle w:val="23"/>
                      </w:rPr>
                      <w:instrText xml:space="preserve">PAGE  </w:instrText>
                    </w:r>
                    <w:r>
                      <w:fldChar w:fldCharType="separate"/>
                    </w:r>
                    <w:r>
                      <w:rPr>
                        <w:rStyle w:val="23"/>
                      </w:rPr>
                      <w:t>i</w:t>
                    </w:r>
                    <w:r>
                      <w:fldChar w:fldCharType="end"/>
                    </w:r>
                  </w:p>
                </w:txbxContent>
              </v:textbox>
            </v:shape>
          </w:pict>
        </mc:Fallback>
      </mc:AlternateContent>
    </w:r>
  </w:p>
  <w:p>
    <w:pPr>
      <w:pStyle w:val="1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rPr>
                              <w:rFonts w:hint="eastAsia"/>
                            </w:rPr>
                            <w:t>i</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yh7uYIgIAADc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Moe7mCICAAA3BAAADgAAAAAAAAABACAAAAA1AQAAZHJzL2Uyb0RvYy54&#10;bWxQSwUGAAAAAAYABgBZAQAAy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rPr>
                        <w:rFonts w:hint="eastAsia"/>
                      </w:rPr>
                      <w:t>i</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4"/>
                            <w:jc w:val="center"/>
                          </w:pPr>
                          <w:r>
                            <w:fldChar w:fldCharType="begin"/>
                          </w:r>
                          <w:r>
                            <w:instrText xml:space="preserve">PAGE   \* MERGEFORMAT</w:instrText>
                          </w:r>
                          <w:r>
                            <w:fldChar w:fldCharType="separate"/>
                          </w:r>
                          <w:r>
                            <w:rPr>
                              <w:lang w:val="zh-CN"/>
                            </w:rPr>
                            <w:t>-</w:t>
                          </w:r>
                          <w:r>
                            <w:t xml:space="preserve"> 2 -</w:t>
                          </w:r>
                          <w:r>
                            <w:fldChar w:fldCharType="end"/>
                          </w:r>
                        </w:p>
                        <w:p>
                          <w:pPr>
                            <w:pStyle w:val="2"/>
                            <w:ind w:firstLine="480"/>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G5FJIwIAADc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MAbkUkjAgAANwQAAA4AAAAAAAAAAQAgAAAANQEAAGRycy9lMm9Eb2Mu&#10;eG1sUEsFBgAAAAAGAAYAWQEAAMoFAAAAAA==&#10;">
              <v:fill on="f" focussize="0,0"/>
              <v:stroke on="f" weight="0.5pt"/>
              <v:imagedata o:title=""/>
              <o:lock v:ext="edit" aspectratio="f"/>
              <v:textbox inset="0mm,0mm,0mm,0mm" style="mso-fit-shape-to-text:t;">
                <w:txbxContent>
                  <w:p>
                    <w:pPr>
                      <w:pStyle w:val="14"/>
                      <w:jc w:val="center"/>
                    </w:pPr>
                    <w:r>
                      <w:fldChar w:fldCharType="begin"/>
                    </w:r>
                    <w:r>
                      <w:instrText xml:space="preserve">PAGE   \* MERGEFORMAT</w:instrText>
                    </w:r>
                    <w:r>
                      <w:fldChar w:fldCharType="separate"/>
                    </w:r>
                    <w:r>
                      <w:rPr>
                        <w:lang w:val="zh-CN"/>
                      </w:rPr>
                      <w:t>-</w:t>
                    </w:r>
                    <w:r>
                      <w:t xml:space="preserve"> 2 -</w:t>
                    </w:r>
                    <w:r>
                      <w:fldChar w:fldCharType="end"/>
                    </w:r>
                  </w:p>
                  <w:p>
                    <w:pPr>
                      <w:pStyle w:val="2"/>
                      <w:ind w:firstLine="480"/>
                    </w:pPr>
                  </w:p>
                </w:txbxContent>
              </v:textbox>
            </v:shape>
          </w:pict>
        </mc:Fallback>
      </mc:AlternateContent>
    </w:r>
  </w:p>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sdt>
                          <w:sdtPr>
                            <w:id w:val="-1292040529"/>
                          </w:sdtPr>
                          <w:sdtContent>
                            <w:p>
                              <w:pPr>
                                <w:pStyle w:val="14"/>
                                <w:jc w:val="center"/>
                              </w:pPr>
                              <w:r>
                                <w:fldChar w:fldCharType="begin"/>
                              </w:r>
                              <w:r>
                                <w:instrText xml:space="preserve">PAGE   \* MERGEFORMAT</w:instrText>
                              </w:r>
                              <w:r>
                                <w:fldChar w:fldCharType="separate"/>
                              </w:r>
                              <w:r>
                                <w:rPr>
                                  <w:lang w:val="zh-CN"/>
                                </w:rPr>
                                <w:t>47</w:t>
                              </w:r>
                              <w:r>
                                <w:rPr>
                                  <w:lang w:val="zh-CN"/>
                                </w:rPr>
                                <w:fldChar w:fldCharType="end"/>
                              </w:r>
                            </w:p>
                          </w:sdtContent>
                        </w:sdt>
                        <w:p>
                          <w:pPr>
                            <w:pStyle w:val="2"/>
                            <w:ind w:firstLine="480"/>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W/3CIgIAADc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L1v9wiICAAA3BAAADgAAAAAAAAABACAAAAA1AQAAZHJzL2Uyb0RvYy54&#10;bWxQSwUGAAAAAAYABgBZAQAAyQUAAAAA&#10;">
              <v:fill on="f" focussize="0,0"/>
              <v:stroke on="f" weight="0.5pt"/>
              <v:imagedata o:title=""/>
              <o:lock v:ext="edit" aspectratio="f"/>
              <v:textbox inset="0mm,0mm,0mm,0mm" style="mso-fit-shape-to-text:t;">
                <w:txbxContent>
                  <w:sdt>
                    <w:sdtPr>
                      <w:id w:val="-1292040529"/>
                    </w:sdtPr>
                    <w:sdtContent>
                      <w:p>
                        <w:pPr>
                          <w:pStyle w:val="14"/>
                          <w:jc w:val="center"/>
                        </w:pPr>
                        <w:r>
                          <w:fldChar w:fldCharType="begin"/>
                        </w:r>
                        <w:r>
                          <w:instrText xml:space="preserve">PAGE   \* MERGEFORMAT</w:instrText>
                        </w:r>
                        <w:r>
                          <w:fldChar w:fldCharType="separate"/>
                        </w:r>
                        <w:r>
                          <w:rPr>
                            <w:lang w:val="zh-CN"/>
                          </w:rPr>
                          <w:t>47</w:t>
                        </w:r>
                        <w:r>
                          <w:rPr>
                            <w:lang w:val="zh-CN"/>
                          </w:rPr>
                          <w:fldChar w:fldCharType="end"/>
                        </w:r>
                      </w:p>
                    </w:sdtContent>
                  </w:sdt>
                  <w:p>
                    <w:pPr>
                      <w:pStyle w:val="2"/>
                      <w:ind w:firstLine="480"/>
                    </w:pPr>
                  </w:p>
                </w:txbxContent>
              </v:textbox>
            </v:shape>
          </w:pict>
        </mc:Fallback>
      </mc:AlternateConten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AB1C50"/>
    <w:multiLevelType w:val="singleLevel"/>
    <w:tmpl w:val="9FAB1C50"/>
    <w:lvl w:ilvl="0" w:tentative="0">
      <w:start w:val="1"/>
      <w:numFmt w:val="decimal"/>
      <w:suff w:val="nothing"/>
      <w:lvlText w:val="%1、"/>
      <w:lvlJc w:val="left"/>
    </w:lvl>
  </w:abstractNum>
  <w:abstractNum w:abstractNumId="1">
    <w:nsid w:val="BA3E112D"/>
    <w:multiLevelType w:val="singleLevel"/>
    <w:tmpl w:val="BA3E112D"/>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60"/>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A2"/>
    <w:rsid w:val="00004358"/>
    <w:rsid w:val="0000618A"/>
    <w:rsid w:val="00006E4A"/>
    <w:rsid w:val="0001011A"/>
    <w:rsid w:val="000103AF"/>
    <w:rsid w:val="00013F49"/>
    <w:rsid w:val="00017C1B"/>
    <w:rsid w:val="00020658"/>
    <w:rsid w:val="00020F1F"/>
    <w:rsid w:val="00022378"/>
    <w:rsid w:val="00022C08"/>
    <w:rsid w:val="000234AC"/>
    <w:rsid w:val="00024380"/>
    <w:rsid w:val="0003030F"/>
    <w:rsid w:val="00030480"/>
    <w:rsid w:val="000342E7"/>
    <w:rsid w:val="0003540D"/>
    <w:rsid w:val="00037081"/>
    <w:rsid w:val="00041240"/>
    <w:rsid w:val="000436F8"/>
    <w:rsid w:val="00046DD1"/>
    <w:rsid w:val="00050E89"/>
    <w:rsid w:val="00052394"/>
    <w:rsid w:val="00055500"/>
    <w:rsid w:val="000556D6"/>
    <w:rsid w:val="000558FC"/>
    <w:rsid w:val="00063944"/>
    <w:rsid w:val="00063D2A"/>
    <w:rsid w:val="0006624B"/>
    <w:rsid w:val="0006734F"/>
    <w:rsid w:val="000700EE"/>
    <w:rsid w:val="000708B1"/>
    <w:rsid w:val="0007213E"/>
    <w:rsid w:val="00074978"/>
    <w:rsid w:val="00074FE0"/>
    <w:rsid w:val="000758B7"/>
    <w:rsid w:val="000761E6"/>
    <w:rsid w:val="00077C61"/>
    <w:rsid w:val="000803D5"/>
    <w:rsid w:val="0008138C"/>
    <w:rsid w:val="0008361E"/>
    <w:rsid w:val="00087C8A"/>
    <w:rsid w:val="00091FAC"/>
    <w:rsid w:val="00092363"/>
    <w:rsid w:val="000948A1"/>
    <w:rsid w:val="00094E06"/>
    <w:rsid w:val="000A2AED"/>
    <w:rsid w:val="000A47BC"/>
    <w:rsid w:val="000A7B61"/>
    <w:rsid w:val="000B1C75"/>
    <w:rsid w:val="000B1EFD"/>
    <w:rsid w:val="000B371E"/>
    <w:rsid w:val="000B3769"/>
    <w:rsid w:val="000B5FE2"/>
    <w:rsid w:val="000C305D"/>
    <w:rsid w:val="000C7E30"/>
    <w:rsid w:val="000D25A6"/>
    <w:rsid w:val="000D3C39"/>
    <w:rsid w:val="000E13A3"/>
    <w:rsid w:val="000E4A4D"/>
    <w:rsid w:val="000F36E0"/>
    <w:rsid w:val="000F45DE"/>
    <w:rsid w:val="000F64F5"/>
    <w:rsid w:val="000F7F7C"/>
    <w:rsid w:val="0011521C"/>
    <w:rsid w:val="00116347"/>
    <w:rsid w:val="00116762"/>
    <w:rsid w:val="0011761B"/>
    <w:rsid w:val="0011772C"/>
    <w:rsid w:val="00117B42"/>
    <w:rsid w:val="001204BD"/>
    <w:rsid w:val="00120760"/>
    <w:rsid w:val="00120BA5"/>
    <w:rsid w:val="00121855"/>
    <w:rsid w:val="00122722"/>
    <w:rsid w:val="00132A9F"/>
    <w:rsid w:val="00140C76"/>
    <w:rsid w:val="00151731"/>
    <w:rsid w:val="001552FC"/>
    <w:rsid w:val="00165220"/>
    <w:rsid w:val="0017289B"/>
    <w:rsid w:val="0018144F"/>
    <w:rsid w:val="001815DB"/>
    <w:rsid w:val="001842E6"/>
    <w:rsid w:val="0019120D"/>
    <w:rsid w:val="00191BB9"/>
    <w:rsid w:val="001A0D64"/>
    <w:rsid w:val="001A2BE7"/>
    <w:rsid w:val="001A46EA"/>
    <w:rsid w:val="001B0513"/>
    <w:rsid w:val="001B299D"/>
    <w:rsid w:val="001B43EC"/>
    <w:rsid w:val="001B4409"/>
    <w:rsid w:val="001B6E2B"/>
    <w:rsid w:val="001C4E0A"/>
    <w:rsid w:val="001C7294"/>
    <w:rsid w:val="001D2405"/>
    <w:rsid w:val="001D4002"/>
    <w:rsid w:val="001D46B7"/>
    <w:rsid w:val="001D752C"/>
    <w:rsid w:val="001E014A"/>
    <w:rsid w:val="001E2892"/>
    <w:rsid w:val="001F0E01"/>
    <w:rsid w:val="001F5874"/>
    <w:rsid w:val="001F5AE6"/>
    <w:rsid w:val="001F66E1"/>
    <w:rsid w:val="001F6DBF"/>
    <w:rsid w:val="00200A36"/>
    <w:rsid w:val="00200C67"/>
    <w:rsid w:val="002050EE"/>
    <w:rsid w:val="0020715F"/>
    <w:rsid w:val="00210065"/>
    <w:rsid w:val="00210D2D"/>
    <w:rsid w:val="00211B9D"/>
    <w:rsid w:val="00213310"/>
    <w:rsid w:val="00217363"/>
    <w:rsid w:val="00230981"/>
    <w:rsid w:val="00231FD3"/>
    <w:rsid w:val="00232C16"/>
    <w:rsid w:val="00241820"/>
    <w:rsid w:val="00243075"/>
    <w:rsid w:val="0024382F"/>
    <w:rsid w:val="00247B99"/>
    <w:rsid w:val="002552D5"/>
    <w:rsid w:val="00257EB6"/>
    <w:rsid w:val="002608E8"/>
    <w:rsid w:val="00260AA0"/>
    <w:rsid w:val="00260B9C"/>
    <w:rsid w:val="00261235"/>
    <w:rsid w:val="00263A05"/>
    <w:rsid w:val="002647EF"/>
    <w:rsid w:val="00270B6A"/>
    <w:rsid w:val="00270C42"/>
    <w:rsid w:val="00273700"/>
    <w:rsid w:val="0027409F"/>
    <w:rsid w:val="00277DC1"/>
    <w:rsid w:val="00282ABB"/>
    <w:rsid w:val="0028697D"/>
    <w:rsid w:val="00293283"/>
    <w:rsid w:val="002A13FB"/>
    <w:rsid w:val="002A2F8A"/>
    <w:rsid w:val="002A52F7"/>
    <w:rsid w:val="002A5687"/>
    <w:rsid w:val="002A5D9E"/>
    <w:rsid w:val="002A6C15"/>
    <w:rsid w:val="002A7284"/>
    <w:rsid w:val="002A7B90"/>
    <w:rsid w:val="002B14F3"/>
    <w:rsid w:val="002B4419"/>
    <w:rsid w:val="002B4F7B"/>
    <w:rsid w:val="002B7E57"/>
    <w:rsid w:val="002C62DC"/>
    <w:rsid w:val="002C6AC6"/>
    <w:rsid w:val="002D1645"/>
    <w:rsid w:val="002D16B1"/>
    <w:rsid w:val="002D4B5A"/>
    <w:rsid w:val="002D7494"/>
    <w:rsid w:val="002E0583"/>
    <w:rsid w:val="002E2066"/>
    <w:rsid w:val="002E47DD"/>
    <w:rsid w:val="002F5192"/>
    <w:rsid w:val="0030025D"/>
    <w:rsid w:val="003023E1"/>
    <w:rsid w:val="00305825"/>
    <w:rsid w:val="00314338"/>
    <w:rsid w:val="00314D3D"/>
    <w:rsid w:val="00315676"/>
    <w:rsid w:val="00315EFB"/>
    <w:rsid w:val="00317F89"/>
    <w:rsid w:val="00320DE6"/>
    <w:rsid w:val="00321706"/>
    <w:rsid w:val="00324E5D"/>
    <w:rsid w:val="003258C4"/>
    <w:rsid w:val="0033278D"/>
    <w:rsid w:val="003358DB"/>
    <w:rsid w:val="00341DBB"/>
    <w:rsid w:val="00341E1A"/>
    <w:rsid w:val="00344061"/>
    <w:rsid w:val="00344835"/>
    <w:rsid w:val="00345797"/>
    <w:rsid w:val="003463E1"/>
    <w:rsid w:val="00346F7A"/>
    <w:rsid w:val="00347C1E"/>
    <w:rsid w:val="00354860"/>
    <w:rsid w:val="003566D8"/>
    <w:rsid w:val="00357D1A"/>
    <w:rsid w:val="00361DB9"/>
    <w:rsid w:val="00364299"/>
    <w:rsid w:val="00370197"/>
    <w:rsid w:val="0037385C"/>
    <w:rsid w:val="00384BFD"/>
    <w:rsid w:val="00386752"/>
    <w:rsid w:val="00392B22"/>
    <w:rsid w:val="00393D41"/>
    <w:rsid w:val="003940AD"/>
    <w:rsid w:val="00394324"/>
    <w:rsid w:val="00395673"/>
    <w:rsid w:val="003A249E"/>
    <w:rsid w:val="003B2578"/>
    <w:rsid w:val="003B3E92"/>
    <w:rsid w:val="003C4362"/>
    <w:rsid w:val="003C7023"/>
    <w:rsid w:val="003F00D1"/>
    <w:rsid w:val="003F0D78"/>
    <w:rsid w:val="00402B05"/>
    <w:rsid w:val="00402BC8"/>
    <w:rsid w:val="004039EA"/>
    <w:rsid w:val="0040417C"/>
    <w:rsid w:val="00405335"/>
    <w:rsid w:val="004074EC"/>
    <w:rsid w:val="00410BDB"/>
    <w:rsid w:val="00412471"/>
    <w:rsid w:val="0041789D"/>
    <w:rsid w:val="004210A5"/>
    <w:rsid w:val="00426862"/>
    <w:rsid w:val="004303C7"/>
    <w:rsid w:val="00435859"/>
    <w:rsid w:val="00435DDF"/>
    <w:rsid w:val="00437899"/>
    <w:rsid w:val="00440ACD"/>
    <w:rsid w:val="00443F67"/>
    <w:rsid w:val="0045070A"/>
    <w:rsid w:val="00450997"/>
    <w:rsid w:val="004512E6"/>
    <w:rsid w:val="004570AF"/>
    <w:rsid w:val="00462B83"/>
    <w:rsid w:val="004725BD"/>
    <w:rsid w:val="00476F85"/>
    <w:rsid w:val="00481F75"/>
    <w:rsid w:val="00482F15"/>
    <w:rsid w:val="00485EDE"/>
    <w:rsid w:val="0049160F"/>
    <w:rsid w:val="004917DD"/>
    <w:rsid w:val="00491A17"/>
    <w:rsid w:val="00491C83"/>
    <w:rsid w:val="00492B60"/>
    <w:rsid w:val="004A06CF"/>
    <w:rsid w:val="004A0D9F"/>
    <w:rsid w:val="004A1B4C"/>
    <w:rsid w:val="004A2005"/>
    <w:rsid w:val="004A559E"/>
    <w:rsid w:val="004B2480"/>
    <w:rsid w:val="004B3254"/>
    <w:rsid w:val="004B46E5"/>
    <w:rsid w:val="004B6368"/>
    <w:rsid w:val="004C31A3"/>
    <w:rsid w:val="004C7E9E"/>
    <w:rsid w:val="004D187C"/>
    <w:rsid w:val="004D34A8"/>
    <w:rsid w:val="004D4813"/>
    <w:rsid w:val="004D7740"/>
    <w:rsid w:val="004E2218"/>
    <w:rsid w:val="004E2DA5"/>
    <w:rsid w:val="004E6A29"/>
    <w:rsid w:val="004F6513"/>
    <w:rsid w:val="00501743"/>
    <w:rsid w:val="00506D14"/>
    <w:rsid w:val="00511C0D"/>
    <w:rsid w:val="005134C0"/>
    <w:rsid w:val="00513C7B"/>
    <w:rsid w:val="00514D88"/>
    <w:rsid w:val="005157F6"/>
    <w:rsid w:val="005160DF"/>
    <w:rsid w:val="005175EA"/>
    <w:rsid w:val="005217B7"/>
    <w:rsid w:val="00522094"/>
    <w:rsid w:val="005244B3"/>
    <w:rsid w:val="00525D63"/>
    <w:rsid w:val="00527A20"/>
    <w:rsid w:val="00532724"/>
    <w:rsid w:val="00532FBC"/>
    <w:rsid w:val="00544A38"/>
    <w:rsid w:val="0055105B"/>
    <w:rsid w:val="00551C23"/>
    <w:rsid w:val="00551DAF"/>
    <w:rsid w:val="00555FFD"/>
    <w:rsid w:val="005664FB"/>
    <w:rsid w:val="00571730"/>
    <w:rsid w:val="00571EC4"/>
    <w:rsid w:val="00574A5B"/>
    <w:rsid w:val="005815B8"/>
    <w:rsid w:val="00582604"/>
    <w:rsid w:val="00584F02"/>
    <w:rsid w:val="0058502E"/>
    <w:rsid w:val="00587B6D"/>
    <w:rsid w:val="005902CA"/>
    <w:rsid w:val="00590D9D"/>
    <w:rsid w:val="0059151B"/>
    <w:rsid w:val="005932A1"/>
    <w:rsid w:val="005955BE"/>
    <w:rsid w:val="00596919"/>
    <w:rsid w:val="005A0E0C"/>
    <w:rsid w:val="005A628F"/>
    <w:rsid w:val="005A77EA"/>
    <w:rsid w:val="005B2DA4"/>
    <w:rsid w:val="005B7A54"/>
    <w:rsid w:val="005C13C8"/>
    <w:rsid w:val="005C515B"/>
    <w:rsid w:val="005D7752"/>
    <w:rsid w:val="005E1E8A"/>
    <w:rsid w:val="005E4016"/>
    <w:rsid w:val="005E4D10"/>
    <w:rsid w:val="005F7153"/>
    <w:rsid w:val="00604B2C"/>
    <w:rsid w:val="006070FF"/>
    <w:rsid w:val="00611E14"/>
    <w:rsid w:val="00624B69"/>
    <w:rsid w:val="00625103"/>
    <w:rsid w:val="006343FE"/>
    <w:rsid w:val="00634DDE"/>
    <w:rsid w:val="00641EDA"/>
    <w:rsid w:val="00646DAA"/>
    <w:rsid w:val="0064715B"/>
    <w:rsid w:val="006505B8"/>
    <w:rsid w:val="00650C68"/>
    <w:rsid w:val="00657267"/>
    <w:rsid w:val="00663C9A"/>
    <w:rsid w:val="00666B78"/>
    <w:rsid w:val="006703CD"/>
    <w:rsid w:val="00681264"/>
    <w:rsid w:val="0069046E"/>
    <w:rsid w:val="006966A8"/>
    <w:rsid w:val="006970B9"/>
    <w:rsid w:val="006A25F4"/>
    <w:rsid w:val="006A2EBD"/>
    <w:rsid w:val="006B22AC"/>
    <w:rsid w:val="006B3AFB"/>
    <w:rsid w:val="006B3D65"/>
    <w:rsid w:val="006B4733"/>
    <w:rsid w:val="006B4A82"/>
    <w:rsid w:val="006C1EB5"/>
    <w:rsid w:val="006C2477"/>
    <w:rsid w:val="006C276B"/>
    <w:rsid w:val="006C50CC"/>
    <w:rsid w:val="006D0558"/>
    <w:rsid w:val="006D2F6B"/>
    <w:rsid w:val="006D5395"/>
    <w:rsid w:val="006D5A37"/>
    <w:rsid w:val="006D7BAD"/>
    <w:rsid w:val="006E1571"/>
    <w:rsid w:val="006E1B9E"/>
    <w:rsid w:val="006E2BDA"/>
    <w:rsid w:val="006E7F68"/>
    <w:rsid w:val="006F0358"/>
    <w:rsid w:val="006F2650"/>
    <w:rsid w:val="006F30E8"/>
    <w:rsid w:val="006F5C8C"/>
    <w:rsid w:val="006F6770"/>
    <w:rsid w:val="0070125C"/>
    <w:rsid w:val="0070230E"/>
    <w:rsid w:val="00702497"/>
    <w:rsid w:val="00703DC2"/>
    <w:rsid w:val="007070F6"/>
    <w:rsid w:val="0071476F"/>
    <w:rsid w:val="007153E6"/>
    <w:rsid w:val="00722CF9"/>
    <w:rsid w:val="00727D9C"/>
    <w:rsid w:val="007302AD"/>
    <w:rsid w:val="0073087D"/>
    <w:rsid w:val="00731E8F"/>
    <w:rsid w:val="00735DAB"/>
    <w:rsid w:val="00747238"/>
    <w:rsid w:val="00751E32"/>
    <w:rsid w:val="007529BF"/>
    <w:rsid w:val="0075300B"/>
    <w:rsid w:val="00757FC9"/>
    <w:rsid w:val="0076427E"/>
    <w:rsid w:val="00766BAF"/>
    <w:rsid w:val="00770D4E"/>
    <w:rsid w:val="007717F1"/>
    <w:rsid w:val="00772D53"/>
    <w:rsid w:val="00780198"/>
    <w:rsid w:val="00781AEF"/>
    <w:rsid w:val="007852A3"/>
    <w:rsid w:val="00794329"/>
    <w:rsid w:val="007A01D0"/>
    <w:rsid w:val="007A1F7C"/>
    <w:rsid w:val="007A2209"/>
    <w:rsid w:val="007A5F41"/>
    <w:rsid w:val="007B1761"/>
    <w:rsid w:val="007B2A7A"/>
    <w:rsid w:val="007B4918"/>
    <w:rsid w:val="007B6093"/>
    <w:rsid w:val="007B68C5"/>
    <w:rsid w:val="007C5E6B"/>
    <w:rsid w:val="007C6C35"/>
    <w:rsid w:val="007D0EF2"/>
    <w:rsid w:val="007D2E8B"/>
    <w:rsid w:val="007E0A2D"/>
    <w:rsid w:val="007E2524"/>
    <w:rsid w:val="007E3BD9"/>
    <w:rsid w:val="007E5FDE"/>
    <w:rsid w:val="007E7620"/>
    <w:rsid w:val="007F32E7"/>
    <w:rsid w:val="007F479E"/>
    <w:rsid w:val="007F6393"/>
    <w:rsid w:val="0080388B"/>
    <w:rsid w:val="00804E84"/>
    <w:rsid w:val="00810DFF"/>
    <w:rsid w:val="008111AF"/>
    <w:rsid w:val="00811546"/>
    <w:rsid w:val="008210B0"/>
    <w:rsid w:val="008231E8"/>
    <w:rsid w:val="00824094"/>
    <w:rsid w:val="00825D48"/>
    <w:rsid w:val="008267FA"/>
    <w:rsid w:val="00827CEE"/>
    <w:rsid w:val="00827E3E"/>
    <w:rsid w:val="00831CAC"/>
    <w:rsid w:val="00831D6E"/>
    <w:rsid w:val="00834628"/>
    <w:rsid w:val="008413DD"/>
    <w:rsid w:val="008416AC"/>
    <w:rsid w:val="008438E4"/>
    <w:rsid w:val="00844872"/>
    <w:rsid w:val="008475E4"/>
    <w:rsid w:val="008515C8"/>
    <w:rsid w:val="008522ED"/>
    <w:rsid w:val="008549C2"/>
    <w:rsid w:val="00854FB1"/>
    <w:rsid w:val="00855890"/>
    <w:rsid w:val="00857EA1"/>
    <w:rsid w:val="008610D3"/>
    <w:rsid w:val="00864100"/>
    <w:rsid w:val="00865099"/>
    <w:rsid w:val="00866F19"/>
    <w:rsid w:val="0087749C"/>
    <w:rsid w:val="0087761C"/>
    <w:rsid w:val="00880C65"/>
    <w:rsid w:val="00880DC6"/>
    <w:rsid w:val="00890387"/>
    <w:rsid w:val="00892657"/>
    <w:rsid w:val="0089505A"/>
    <w:rsid w:val="00895DA9"/>
    <w:rsid w:val="0089760A"/>
    <w:rsid w:val="008A08AD"/>
    <w:rsid w:val="008A0F76"/>
    <w:rsid w:val="008A40F8"/>
    <w:rsid w:val="008A6BB8"/>
    <w:rsid w:val="008B0AA6"/>
    <w:rsid w:val="008B3742"/>
    <w:rsid w:val="008B4584"/>
    <w:rsid w:val="008B4919"/>
    <w:rsid w:val="008B6418"/>
    <w:rsid w:val="008B71F6"/>
    <w:rsid w:val="008C0F0F"/>
    <w:rsid w:val="008C14D6"/>
    <w:rsid w:val="008C6115"/>
    <w:rsid w:val="008D2A3B"/>
    <w:rsid w:val="008D53A6"/>
    <w:rsid w:val="008D679E"/>
    <w:rsid w:val="008E22F8"/>
    <w:rsid w:val="008F04AD"/>
    <w:rsid w:val="008F2DDF"/>
    <w:rsid w:val="008F5E64"/>
    <w:rsid w:val="008F6AA1"/>
    <w:rsid w:val="00900517"/>
    <w:rsid w:val="00902CD4"/>
    <w:rsid w:val="009071D2"/>
    <w:rsid w:val="00910740"/>
    <w:rsid w:val="00920837"/>
    <w:rsid w:val="00920D0C"/>
    <w:rsid w:val="009259BD"/>
    <w:rsid w:val="00926C8A"/>
    <w:rsid w:val="009275A8"/>
    <w:rsid w:val="00931C5F"/>
    <w:rsid w:val="00932A08"/>
    <w:rsid w:val="009332B6"/>
    <w:rsid w:val="00934DA4"/>
    <w:rsid w:val="00935528"/>
    <w:rsid w:val="009453CB"/>
    <w:rsid w:val="00946AA2"/>
    <w:rsid w:val="009502DD"/>
    <w:rsid w:val="00953AD3"/>
    <w:rsid w:val="00953FC9"/>
    <w:rsid w:val="00954D19"/>
    <w:rsid w:val="009604CA"/>
    <w:rsid w:val="00962668"/>
    <w:rsid w:val="0096357D"/>
    <w:rsid w:val="00972B5B"/>
    <w:rsid w:val="00977070"/>
    <w:rsid w:val="0098382B"/>
    <w:rsid w:val="00993D50"/>
    <w:rsid w:val="00995985"/>
    <w:rsid w:val="009A009D"/>
    <w:rsid w:val="009A2F61"/>
    <w:rsid w:val="009A49AD"/>
    <w:rsid w:val="009B15E3"/>
    <w:rsid w:val="009B225D"/>
    <w:rsid w:val="009B32C8"/>
    <w:rsid w:val="009B3438"/>
    <w:rsid w:val="009C2C22"/>
    <w:rsid w:val="009D0E18"/>
    <w:rsid w:val="009D6CE7"/>
    <w:rsid w:val="009E115D"/>
    <w:rsid w:val="009E17A3"/>
    <w:rsid w:val="009E2F7F"/>
    <w:rsid w:val="009E5284"/>
    <w:rsid w:val="009E5E55"/>
    <w:rsid w:val="009F1973"/>
    <w:rsid w:val="009F29B6"/>
    <w:rsid w:val="009F3436"/>
    <w:rsid w:val="00A03D6C"/>
    <w:rsid w:val="00A05007"/>
    <w:rsid w:val="00A05337"/>
    <w:rsid w:val="00A10FEE"/>
    <w:rsid w:val="00A11EBE"/>
    <w:rsid w:val="00A16162"/>
    <w:rsid w:val="00A27C80"/>
    <w:rsid w:val="00A27DA3"/>
    <w:rsid w:val="00A30BAF"/>
    <w:rsid w:val="00A3120A"/>
    <w:rsid w:val="00A31EE0"/>
    <w:rsid w:val="00A333FD"/>
    <w:rsid w:val="00A37A2C"/>
    <w:rsid w:val="00A41FD5"/>
    <w:rsid w:val="00A4317D"/>
    <w:rsid w:val="00A4529B"/>
    <w:rsid w:val="00A46EF0"/>
    <w:rsid w:val="00A52F23"/>
    <w:rsid w:val="00A53C32"/>
    <w:rsid w:val="00A57C08"/>
    <w:rsid w:val="00A63263"/>
    <w:rsid w:val="00A64754"/>
    <w:rsid w:val="00A72CC1"/>
    <w:rsid w:val="00A75CD8"/>
    <w:rsid w:val="00A77121"/>
    <w:rsid w:val="00A7756C"/>
    <w:rsid w:val="00A810E8"/>
    <w:rsid w:val="00A8455B"/>
    <w:rsid w:val="00A84749"/>
    <w:rsid w:val="00A86BC1"/>
    <w:rsid w:val="00A87487"/>
    <w:rsid w:val="00A97BA5"/>
    <w:rsid w:val="00AA0366"/>
    <w:rsid w:val="00AA2971"/>
    <w:rsid w:val="00AA3C11"/>
    <w:rsid w:val="00AA6430"/>
    <w:rsid w:val="00AB42AF"/>
    <w:rsid w:val="00AB4A76"/>
    <w:rsid w:val="00AC429A"/>
    <w:rsid w:val="00AC50EF"/>
    <w:rsid w:val="00AC6D16"/>
    <w:rsid w:val="00AD34CD"/>
    <w:rsid w:val="00AD5176"/>
    <w:rsid w:val="00AD6B7A"/>
    <w:rsid w:val="00AE0227"/>
    <w:rsid w:val="00AE0773"/>
    <w:rsid w:val="00AE0BE8"/>
    <w:rsid w:val="00AE2812"/>
    <w:rsid w:val="00AF2AEE"/>
    <w:rsid w:val="00AF3D4A"/>
    <w:rsid w:val="00AF784F"/>
    <w:rsid w:val="00B0578F"/>
    <w:rsid w:val="00B1528E"/>
    <w:rsid w:val="00B15EAA"/>
    <w:rsid w:val="00B16D51"/>
    <w:rsid w:val="00B213A2"/>
    <w:rsid w:val="00B255F0"/>
    <w:rsid w:val="00B30C9D"/>
    <w:rsid w:val="00B30E2E"/>
    <w:rsid w:val="00B31297"/>
    <w:rsid w:val="00B3195E"/>
    <w:rsid w:val="00B43187"/>
    <w:rsid w:val="00B43538"/>
    <w:rsid w:val="00B47657"/>
    <w:rsid w:val="00B54174"/>
    <w:rsid w:val="00B5418F"/>
    <w:rsid w:val="00B5615E"/>
    <w:rsid w:val="00B571C8"/>
    <w:rsid w:val="00B60768"/>
    <w:rsid w:val="00B61AA5"/>
    <w:rsid w:val="00B6392B"/>
    <w:rsid w:val="00B66801"/>
    <w:rsid w:val="00B708EF"/>
    <w:rsid w:val="00B72140"/>
    <w:rsid w:val="00B72595"/>
    <w:rsid w:val="00B7340F"/>
    <w:rsid w:val="00B73E7C"/>
    <w:rsid w:val="00B74525"/>
    <w:rsid w:val="00B74D28"/>
    <w:rsid w:val="00B85EC2"/>
    <w:rsid w:val="00B868A3"/>
    <w:rsid w:val="00B86DA7"/>
    <w:rsid w:val="00B910C1"/>
    <w:rsid w:val="00BA2D44"/>
    <w:rsid w:val="00BA3FF1"/>
    <w:rsid w:val="00BA7163"/>
    <w:rsid w:val="00BB04EB"/>
    <w:rsid w:val="00BB0B86"/>
    <w:rsid w:val="00BB164D"/>
    <w:rsid w:val="00BB1D34"/>
    <w:rsid w:val="00BB37CF"/>
    <w:rsid w:val="00BB5A15"/>
    <w:rsid w:val="00BC2A2E"/>
    <w:rsid w:val="00BC2F26"/>
    <w:rsid w:val="00BC34E9"/>
    <w:rsid w:val="00BD129D"/>
    <w:rsid w:val="00BD322D"/>
    <w:rsid w:val="00BD3257"/>
    <w:rsid w:val="00BE1622"/>
    <w:rsid w:val="00BE3C94"/>
    <w:rsid w:val="00BF2153"/>
    <w:rsid w:val="00BF250B"/>
    <w:rsid w:val="00BF3E28"/>
    <w:rsid w:val="00BF57C5"/>
    <w:rsid w:val="00C00F07"/>
    <w:rsid w:val="00C10C2E"/>
    <w:rsid w:val="00C31256"/>
    <w:rsid w:val="00C3350B"/>
    <w:rsid w:val="00C378A9"/>
    <w:rsid w:val="00C418E7"/>
    <w:rsid w:val="00C44812"/>
    <w:rsid w:val="00C46CE4"/>
    <w:rsid w:val="00C472B2"/>
    <w:rsid w:val="00C5084D"/>
    <w:rsid w:val="00C51628"/>
    <w:rsid w:val="00C519B3"/>
    <w:rsid w:val="00C51E05"/>
    <w:rsid w:val="00C5289B"/>
    <w:rsid w:val="00C54881"/>
    <w:rsid w:val="00C55192"/>
    <w:rsid w:val="00C610CD"/>
    <w:rsid w:val="00C6211C"/>
    <w:rsid w:val="00C63273"/>
    <w:rsid w:val="00C679A6"/>
    <w:rsid w:val="00C71E94"/>
    <w:rsid w:val="00C77E2F"/>
    <w:rsid w:val="00C81C77"/>
    <w:rsid w:val="00C82253"/>
    <w:rsid w:val="00C87BB3"/>
    <w:rsid w:val="00C91C46"/>
    <w:rsid w:val="00C93EEA"/>
    <w:rsid w:val="00C95E8F"/>
    <w:rsid w:val="00C96420"/>
    <w:rsid w:val="00CA294A"/>
    <w:rsid w:val="00CA2E7B"/>
    <w:rsid w:val="00CA54F8"/>
    <w:rsid w:val="00CA5B2B"/>
    <w:rsid w:val="00CA5BE0"/>
    <w:rsid w:val="00CA5E8F"/>
    <w:rsid w:val="00CA6F0F"/>
    <w:rsid w:val="00CB076F"/>
    <w:rsid w:val="00CB47F9"/>
    <w:rsid w:val="00CB6528"/>
    <w:rsid w:val="00CB73EB"/>
    <w:rsid w:val="00CC20B0"/>
    <w:rsid w:val="00CC2376"/>
    <w:rsid w:val="00CC3124"/>
    <w:rsid w:val="00CD0F16"/>
    <w:rsid w:val="00CD1423"/>
    <w:rsid w:val="00CD4B34"/>
    <w:rsid w:val="00CE01EC"/>
    <w:rsid w:val="00CE5E56"/>
    <w:rsid w:val="00CF0062"/>
    <w:rsid w:val="00CF5036"/>
    <w:rsid w:val="00CF6FFA"/>
    <w:rsid w:val="00CF7FB9"/>
    <w:rsid w:val="00D05907"/>
    <w:rsid w:val="00D06A90"/>
    <w:rsid w:val="00D15473"/>
    <w:rsid w:val="00D15AC3"/>
    <w:rsid w:val="00D17A96"/>
    <w:rsid w:val="00D27FCE"/>
    <w:rsid w:val="00D321D2"/>
    <w:rsid w:val="00D42277"/>
    <w:rsid w:val="00D424F6"/>
    <w:rsid w:val="00D431F4"/>
    <w:rsid w:val="00D43968"/>
    <w:rsid w:val="00D4798E"/>
    <w:rsid w:val="00D61214"/>
    <w:rsid w:val="00D61FF4"/>
    <w:rsid w:val="00D6314A"/>
    <w:rsid w:val="00D63977"/>
    <w:rsid w:val="00D655AD"/>
    <w:rsid w:val="00D702F6"/>
    <w:rsid w:val="00D71359"/>
    <w:rsid w:val="00D72399"/>
    <w:rsid w:val="00D72410"/>
    <w:rsid w:val="00D73CE3"/>
    <w:rsid w:val="00D80633"/>
    <w:rsid w:val="00D8081A"/>
    <w:rsid w:val="00D80A76"/>
    <w:rsid w:val="00D81609"/>
    <w:rsid w:val="00D90867"/>
    <w:rsid w:val="00DA050F"/>
    <w:rsid w:val="00DA52F2"/>
    <w:rsid w:val="00DA619E"/>
    <w:rsid w:val="00DA6831"/>
    <w:rsid w:val="00DB452C"/>
    <w:rsid w:val="00DB5374"/>
    <w:rsid w:val="00DB5D4F"/>
    <w:rsid w:val="00DC10B2"/>
    <w:rsid w:val="00DC285F"/>
    <w:rsid w:val="00DC342D"/>
    <w:rsid w:val="00DC4AEC"/>
    <w:rsid w:val="00DC53A1"/>
    <w:rsid w:val="00DC77A7"/>
    <w:rsid w:val="00DD59CF"/>
    <w:rsid w:val="00DD624B"/>
    <w:rsid w:val="00DE058B"/>
    <w:rsid w:val="00DE2E34"/>
    <w:rsid w:val="00DE4C39"/>
    <w:rsid w:val="00DE50DB"/>
    <w:rsid w:val="00DF5810"/>
    <w:rsid w:val="00DF5F2C"/>
    <w:rsid w:val="00E02024"/>
    <w:rsid w:val="00E05265"/>
    <w:rsid w:val="00E10D4D"/>
    <w:rsid w:val="00E23FCB"/>
    <w:rsid w:val="00E366DF"/>
    <w:rsid w:val="00E36C76"/>
    <w:rsid w:val="00E37023"/>
    <w:rsid w:val="00E37F07"/>
    <w:rsid w:val="00E37F87"/>
    <w:rsid w:val="00E40377"/>
    <w:rsid w:val="00E40EC5"/>
    <w:rsid w:val="00E448FB"/>
    <w:rsid w:val="00E515EF"/>
    <w:rsid w:val="00E54B01"/>
    <w:rsid w:val="00E5646A"/>
    <w:rsid w:val="00E57637"/>
    <w:rsid w:val="00E64445"/>
    <w:rsid w:val="00E66B2E"/>
    <w:rsid w:val="00E72D8C"/>
    <w:rsid w:val="00E73ED5"/>
    <w:rsid w:val="00E75876"/>
    <w:rsid w:val="00E76FF8"/>
    <w:rsid w:val="00E84465"/>
    <w:rsid w:val="00E87FCE"/>
    <w:rsid w:val="00E941EE"/>
    <w:rsid w:val="00E94391"/>
    <w:rsid w:val="00EA5E88"/>
    <w:rsid w:val="00EC1448"/>
    <w:rsid w:val="00EC1A2E"/>
    <w:rsid w:val="00EC2CEE"/>
    <w:rsid w:val="00ED1ABD"/>
    <w:rsid w:val="00ED4461"/>
    <w:rsid w:val="00EE0967"/>
    <w:rsid w:val="00EE29C1"/>
    <w:rsid w:val="00EE30CD"/>
    <w:rsid w:val="00EE3778"/>
    <w:rsid w:val="00EE647B"/>
    <w:rsid w:val="00EF0D81"/>
    <w:rsid w:val="00EF16A5"/>
    <w:rsid w:val="00EF2BE7"/>
    <w:rsid w:val="00EF394C"/>
    <w:rsid w:val="00F04270"/>
    <w:rsid w:val="00F16EFA"/>
    <w:rsid w:val="00F21169"/>
    <w:rsid w:val="00F21A5C"/>
    <w:rsid w:val="00F21C49"/>
    <w:rsid w:val="00F22569"/>
    <w:rsid w:val="00F265D9"/>
    <w:rsid w:val="00F32222"/>
    <w:rsid w:val="00F36826"/>
    <w:rsid w:val="00F42A4D"/>
    <w:rsid w:val="00F472D9"/>
    <w:rsid w:val="00F549C9"/>
    <w:rsid w:val="00F61D19"/>
    <w:rsid w:val="00F64EAE"/>
    <w:rsid w:val="00F675AA"/>
    <w:rsid w:val="00F70E5F"/>
    <w:rsid w:val="00F80764"/>
    <w:rsid w:val="00F90EE4"/>
    <w:rsid w:val="00F90FED"/>
    <w:rsid w:val="00F931C4"/>
    <w:rsid w:val="00F94CA1"/>
    <w:rsid w:val="00F96862"/>
    <w:rsid w:val="00F977A9"/>
    <w:rsid w:val="00FA177B"/>
    <w:rsid w:val="00FA2504"/>
    <w:rsid w:val="00FA5756"/>
    <w:rsid w:val="00FA7E93"/>
    <w:rsid w:val="00FB002C"/>
    <w:rsid w:val="00FB08DE"/>
    <w:rsid w:val="00FB0C41"/>
    <w:rsid w:val="00FB34F6"/>
    <w:rsid w:val="00FB392C"/>
    <w:rsid w:val="00FB572A"/>
    <w:rsid w:val="00FC3800"/>
    <w:rsid w:val="00FC79E3"/>
    <w:rsid w:val="00FD00AF"/>
    <w:rsid w:val="00FD313C"/>
    <w:rsid w:val="00FD3A69"/>
    <w:rsid w:val="00FD4DE7"/>
    <w:rsid w:val="00FE1EC8"/>
    <w:rsid w:val="00FE2D3E"/>
    <w:rsid w:val="00FE34D4"/>
    <w:rsid w:val="00FF6FDF"/>
    <w:rsid w:val="01320BB5"/>
    <w:rsid w:val="013954A7"/>
    <w:rsid w:val="01823FE2"/>
    <w:rsid w:val="01A307E9"/>
    <w:rsid w:val="01E316C0"/>
    <w:rsid w:val="01EA0F6E"/>
    <w:rsid w:val="02781E6F"/>
    <w:rsid w:val="028A1508"/>
    <w:rsid w:val="02AD6DB3"/>
    <w:rsid w:val="02DA10BA"/>
    <w:rsid w:val="02E45F25"/>
    <w:rsid w:val="02F93190"/>
    <w:rsid w:val="03035D9E"/>
    <w:rsid w:val="035248A8"/>
    <w:rsid w:val="03A57CFC"/>
    <w:rsid w:val="03EF57FA"/>
    <w:rsid w:val="04203A8D"/>
    <w:rsid w:val="043E0802"/>
    <w:rsid w:val="04BF6724"/>
    <w:rsid w:val="04E7037F"/>
    <w:rsid w:val="055C3863"/>
    <w:rsid w:val="05B66A0A"/>
    <w:rsid w:val="05C70007"/>
    <w:rsid w:val="05E50575"/>
    <w:rsid w:val="05F00EB0"/>
    <w:rsid w:val="061D740B"/>
    <w:rsid w:val="06A85213"/>
    <w:rsid w:val="06CA6EE5"/>
    <w:rsid w:val="0723757B"/>
    <w:rsid w:val="074E23B3"/>
    <w:rsid w:val="07C71C67"/>
    <w:rsid w:val="07D02E37"/>
    <w:rsid w:val="080267BC"/>
    <w:rsid w:val="08095C39"/>
    <w:rsid w:val="08746065"/>
    <w:rsid w:val="08D06386"/>
    <w:rsid w:val="08F20D07"/>
    <w:rsid w:val="09263017"/>
    <w:rsid w:val="09393DBE"/>
    <w:rsid w:val="095D3557"/>
    <w:rsid w:val="0A124AB4"/>
    <w:rsid w:val="0A1B1733"/>
    <w:rsid w:val="0A7C63D0"/>
    <w:rsid w:val="0AA86452"/>
    <w:rsid w:val="0AC20FFF"/>
    <w:rsid w:val="0ADA6015"/>
    <w:rsid w:val="0B1E3748"/>
    <w:rsid w:val="0B37188F"/>
    <w:rsid w:val="0B5F2CB9"/>
    <w:rsid w:val="0BBA34AB"/>
    <w:rsid w:val="0BD12DEE"/>
    <w:rsid w:val="0C415E16"/>
    <w:rsid w:val="0C5E084F"/>
    <w:rsid w:val="0D1A1D46"/>
    <w:rsid w:val="0DBF1A64"/>
    <w:rsid w:val="0E0C312E"/>
    <w:rsid w:val="0E13657A"/>
    <w:rsid w:val="0E8A010A"/>
    <w:rsid w:val="0EBC2B68"/>
    <w:rsid w:val="0EE5603E"/>
    <w:rsid w:val="0F0D0781"/>
    <w:rsid w:val="0FAA55B3"/>
    <w:rsid w:val="1039296D"/>
    <w:rsid w:val="10696C5D"/>
    <w:rsid w:val="10B3695B"/>
    <w:rsid w:val="10C058AF"/>
    <w:rsid w:val="10C94651"/>
    <w:rsid w:val="111C71B4"/>
    <w:rsid w:val="11487DC6"/>
    <w:rsid w:val="12355965"/>
    <w:rsid w:val="123C2ECE"/>
    <w:rsid w:val="12406970"/>
    <w:rsid w:val="12477DD2"/>
    <w:rsid w:val="125E3C1E"/>
    <w:rsid w:val="12806706"/>
    <w:rsid w:val="13580991"/>
    <w:rsid w:val="139F7D91"/>
    <w:rsid w:val="14894AF3"/>
    <w:rsid w:val="1521396E"/>
    <w:rsid w:val="15E51991"/>
    <w:rsid w:val="15E907C5"/>
    <w:rsid w:val="16152EA0"/>
    <w:rsid w:val="164510C5"/>
    <w:rsid w:val="16E55013"/>
    <w:rsid w:val="18180FD5"/>
    <w:rsid w:val="188F79D9"/>
    <w:rsid w:val="18AC45C3"/>
    <w:rsid w:val="19B12D10"/>
    <w:rsid w:val="19D05D68"/>
    <w:rsid w:val="19DD2185"/>
    <w:rsid w:val="1A1A7050"/>
    <w:rsid w:val="1A340317"/>
    <w:rsid w:val="1A935336"/>
    <w:rsid w:val="1A9F5EC9"/>
    <w:rsid w:val="1AE31468"/>
    <w:rsid w:val="1AF35271"/>
    <w:rsid w:val="1B2C32BA"/>
    <w:rsid w:val="1B8B513D"/>
    <w:rsid w:val="1BE7385F"/>
    <w:rsid w:val="1C9D47FF"/>
    <w:rsid w:val="1CDB231D"/>
    <w:rsid w:val="1D1215DA"/>
    <w:rsid w:val="1D424FE0"/>
    <w:rsid w:val="1D875A27"/>
    <w:rsid w:val="1D8D0E89"/>
    <w:rsid w:val="1DAD45C3"/>
    <w:rsid w:val="1DAD6F51"/>
    <w:rsid w:val="1DD814D8"/>
    <w:rsid w:val="1E436BE9"/>
    <w:rsid w:val="1E480058"/>
    <w:rsid w:val="1E4B007F"/>
    <w:rsid w:val="1E8900D8"/>
    <w:rsid w:val="1E922DF4"/>
    <w:rsid w:val="1EC33436"/>
    <w:rsid w:val="1ED7613B"/>
    <w:rsid w:val="1EFA4095"/>
    <w:rsid w:val="1F1259F3"/>
    <w:rsid w:val="1F166D30"/>
    <w:rsid w:val="1F386FCF"/>
    <w:rsid w:val="1FBE2AC5"/>
    <w:rsid w:val="1FEC05E1"/>
    <w:rsid w:val="200730DA"/>
    <w:rsid w:val="20390790"/>
    <w:rsid w:val="20B30467"/>
    <w:rsid w:val="20D5093E"/>
    <w:rsid w:val="210E0ED5"/>
    <w:rsid w:val="21454962"/>
    <w:rsid w:val="21AC6895"/>
    <w:rsid w:val="21C20986"/>
    <w:rsid w:val="21DD7BA8"/>
    <w:rsid w:val="22337B58"/>
    <w:rsid w:val="224D015E"/>
    <w:rsid w:val="22730359"/>
    <w:rsid w:val="22FD3F84"/>
    <w:rsid w:val="231950B4"/>
    <w:rsid w:val="2351649E"/>
    <w:rsid w:val="239327DC"/>
    <w:rsid w:val="23D6177A"/>
    <w:rsid w:val="23D945C2"/>
    <w:rsid w:val="23E41A8B"/>
    <w:rsid w:val="23F52761"/>
    <w:rsid w:val="23F97B55"/>
    <w:rsid w:val="240457C7"/>
    <w:rsid w:val="2423477C"/>
    <w:rsid w:val="245B5745"/>
    <w:rsid w:val="24DC3EB0"/>
    <w:rsid w:val="255E4C6F"/>
    <w:rsid w:val="25725F53"/>
    <w:rsid w:val="25EB4915"/>
    <w:rsid w:val="26C40368"/>
    <w:rsid w:val="26DB6C44"/>
    <w:rsid w:val="273042CB"/>
    <w:rsid w:val="278C6EAB"/>
    <w:rsid w:val="27C1314E"/>
    <w:rsid w:val="27D56998"/>
    <w:rsid w:val="2840722D"/>
    <w:rsid w:val="29497C8C"/>
    <w:rsid w:val="29730035"/>
    <w:rsid w:val="29A0006B"/>
    <w:rsid w:val="29F25DD8"/>
    <w:rsid w:val="2A041C11"/>
    <w:rsid w:val="2A0C62F4"/>
    <w:rsid w:val="2A7B3A66"/>
    <w:rsid w:val="2A992582"/>
    <w:rsid w:val="2AC86558"/>
    <w:rsid w:val="2ACE7DF8"/>
    <w:rsid w:val="2B3874BA"/>
    <w:rsid w:val="2B3C38E4"/>
    <w:rsid w:val="2B5C5778"/>
    <w:rsid w:val="2BDA5859"/>
    <w:rsid w:val="2BDB14AF"/>
    <w:rsid w:val="2BF741D8"/>
    <w:rsid w:val="2C565281"/>
    <w:rsid w:val="2CD71DD4"/>
    <w:rsid w:val="2D1D6472"/>
    <w:rsid w:val="2D6C02CE"/>
    <w:rsid w:val="2E255BC6"/>
    <w:rsid w:val="2E3864F2"/>
    <w:rsid w:val="2F8F66BC"/>
    <w:rsid w:val="2FA2708A"/>
    <w:rsid w:val="2FDA707F"/>
    <w:rsid w:val="302D4A70"/>
    <w:rsid w:val="30B31168"/>
    <w:rsid w:val="316C0AEC"/>
    <w:rsid w:val="317960BB"/>
    <w:rsid w:val="31807263"/>
    <w:rsid w:val="31D11ECA"/>
    <w:rsid w:val="32161443"/>
    <w:rsid w:val="32A520CB"/>
    <w:rsid w:val="32E272AA"/>
    <w:rsid w:val="330F7360"/>
    <w:rsid w:val="339C449A"/>
    <w:rsid w:val="33C40DE0"/>
    <w:rsid w:val="33FF27C9"/>
    <w:rsid w:val="341D57A5"/>
    <w:rsid w:val="34AF3DAC"/>
    <w:rsid w:val="34C1779A"/>
    <w:rsid w:val="35482D45"/>
    <w:rsid w:val="35E836ED"/>
    <w:rsid w:val="361D7200"/>
    <w:rsid w:val="364A6953"/>
    <w:rsid w:val="365B6A5A"/>
    <w:rsid w:val="366476C1"/>
    <w:rsid w:val="3670289F"/>
    <w:rsid w:val="36AD6D6D"/>
    <w:rsid w:val="37A85E9E"/>
    <w:rsid w:val="37FFC2F0"/>
    <w:rsid w:val="381B12E9"/>
    <w:rsid w:val="38AE7F46"/>
    <w:rsid w:val="38F31CE7"/>
    <w:rsid w:val="3901420F"/>
    <w:rsid w:val="39CB60FE"/>
    <w:rsid w:val="3A255F0E"/>
    <w:rsid w:val="3B72365A"/>
    <w:rsid w:val="3B7D3DB0"/>
    <w:rsid w:val="3B7D694B"/>
    <w:rsid w:val="3B844045"/>
    <w:rsid w:val="3BB16956"/>
    <w:rsid w:val="3BBD3FD2"/>
    <w:rsid w:val="3BFFDD38"/>
    <w:rsid w:val="3C8C1215"/>
    <w:rsid w:val="3CA829F1"/>
    <w:rsid w:val="3D4435CA"/>
    <w:rsid w:val="3D5077F3"/>
    <w:rsid w:val="3D540951"/>
    <w:rsid w:val="3DF6315A"/>
    <w:rsid w:val="3DF676B9"/>
    <w:rsid w:val="3DFBD874"/>
    <w:rsid w:val="3DFC1CC0"/>
    <w:rsid w:val="3E3F04A1"/>
    <w:rsid w:val="3E4A6F10"/>
    <w:rsid w:val="3E5739C3"/>
    <w:rsid w:val="3E6A5387"/>
    <w:rsid w:val="3EC070F2"/>
    <w:rsid w:val="3EF407ED"/>
    <w:rsid w:val="3F06509D"/>
    <w:rsid w:val="3F0848DF"/>
    <w:rsid w:val="3F3D1908"/>
    <w:rsid w:val="3F4E7963"/>
    <w:rsid w:val="3F7A131B"/>
    <w:rsid w:val="3F813459"/>
    <w:rsid w:val="3FB64762"/>
    <w:rsid w:val="3FBA3FCE"/>
    <w:rsid w:val="3FFA852C"/>
    <w:rsid w:val="3FFFBB59"/>
    <w:rsid w:val="400659CC"/>
    <w:rsid w:val="40154BFE"/>
    <w:rsid w:val="40264879"/>
    <w:rsid w:val="402C05E3"/>
    <w:rsid w:val="404A19B5"/>
    <w:rsid w:val="40D02370"/>
    <w:rsid w:val="41096676"/>
    <w:rsid w:val="412F2028"/>
    <w:rsid w:val="414823E8"/>
    <w:rsid w:val="419616A5"/>
    <w:rsid w:val="41A93584"/>
    <w:rsid w:val="41CF2DE0"/>
    <w:rsid w:val="42097192"/>
    <w:rsid w:val="4223448B"/>
    <w:rsid w:val="42551D5F"/>
    <w:rsid w:val="42712D61"/>
    <w:rsid w:val="42831B6C"/>
    <w:rsid w:val="42A22815"/>
    <w:rsid w:val="433A1A6D"/>
    <w:rsid w:val="43762B45"/>
    <w:rsid w:val="438F2125"/>
    <w:rsid w:val="43B04905"/>
    <w:rsid w:val="43C42340"/>
    <w:rsid w:val="43FB6615"/>
    <w:rsid w:val="441F6694"/>
    <w:rsid w:val="45F35D68"/>
    <w:rsid w:val="464947DF"/>
    <w:rsid w:val="466B4273"/>
    <w:rsid w:val="46826617"/>
    <w:rsid w:val="47313A8D"/>
    <w:rsid w:val="479D4CD5"/>
    <w:rsid w:val="47A54641"/>
    <w:rsid w:val="484E4ABE"/>
    <w:rsid w:val="485478FF"/>
    <w:rsid w:val="48E41349"/>
    <w:rsid w:val="48E9633C"/>
    <w:rsid w:val="48F57BFB"/>
    <w:rsid w:val="490E7497"/>
    <w:rsid w:val="491A73F3"/>
    <w:rsid w:val="497E4575"/>
    <w:rsid w:val="49842A86"/>
    <w:rsid w:val="499B5464"/>
    <w:rsid w:val="49D451E1"/>
    <w:rsid w:val="4A166BEB"/>
    <w:rsid w:val="4A325773"/>
    <w:rsid w:val="4A4C5FE4"/>
    <w:rsid w:val="4A646FF7"/>
    <w:rsid w:val="4A9436EF"/>
    <w:rsid w:val="4AB7722E"/>
    <w:rsid w:val="4B3906CD"/>
    <w:rsid w:val="4B9571D1"/>
    <w:rsid w:val="4B965A8D"/>
    <w:rsid w:val="4D537B5A"/>
    <w:rsid w:val="4D865E6A"/>
    <w:rsid w:val="4DEA7327"/>
    <w:rsid w:val="4DEB13A6"/>
    <w:rsid w:val="4E1F4CED"/>
    <w:rsid w:val="4E325537"/>
    <w:rsid w:val="4EAF7053"/>
    <w:rsid w:val="4F3E4949"/>
    <w:rsid w:val="4F471A31"/>
    <w:rsid w:val="4F5C4010"/>
    <w:rsid w:val="4FC23F46"/>
    <w:rsid w:val="4FE9698A"/>
    <w:rsid w:val="4FF322D3"/>
    <w:rsid w:val="50340FAF"/>
    <w:rsid w:val="50497D2E"/>
    <w:rsid w:val="5073185E"/>
    <w:rsid w:val="50AC12FB"/>
    <w:rsid w:val="50FC1000"/>
    <w:rsid w:val="519D4180"/>
    <w:rsid w:val="51DD28BE"/>
    <w:rsid w:val="52176346"/>
    <w:rsid w:val="5227372A"/>
    <w:rsid w:val="527E7752"/>
    <w:rsid w:val="528D252A"/>
    <w:rsid w:val="52A770BC"/>
    <w:rsid w:val="52A861EE"/>
    <w:rsid w:val="52EB5BBA"/>
    <w:rsid w:val="531B3B38"/>
    <w:rsid w:val="53C93199"/>
    <w:rsid w:val="541265CC"/>
    <w:rsid w:val="544F26DC"/>
    <w:rsid w:val="545E1A65"/>
    <w:rsid w:val="549E369D"/>
    <w:rsid w:val="54D71F36"/>
    <w:rsid w:val="55096E8D"/>
    <w:rsid w:val="55AF1FB8"/>
    <w:rsid w:val="563B12EC"/>
    <w:rsid w:val="56477C14"/>
    <w:rsid w:val="56654E7F"/>
    <w:rsid w:val="56686871"/>
    <w:rsid w:val="56952AF8"/>
    <w:rsid w:val="577628A1"/>
    <w:rsid w:val="57946390"/>
    <w:rsid w:val="57C46057"/>
    <w:rsid w:val="57DC6D39"/>
    <w:rsid w:val="58F54F09"/>
    <w:rsid w:val="591E0628"/>
    <w:rsid w:val="5921306C"/>
    <w:rsid w:val="598559BD"/>
    <w:rsid w:val="59C50126"/>
    <w:rsid w:val="5ADA0D5A"/>
    <w:rsid w:val="5B1C4238"/>
    <w:rsid w:val="5B3E7661"/>
    <w:rsid w:val="5B511A2C"/>
    <w:rsid w:val="5B5843BE"/>
    <w:rsid w:val="5B837961"/>
    <w:rsid w:val="5BA6145A"/>
    <w:rsid w:val="5C6F3A2B"/>
    <w:rsid w:val="5C8E4283"/>
    <w:rsid w:val="5CA6045E"/>
    <w:rsid w:val="5CB240EA"/>
    <w:rsid w:val="5D3074AA"/>
    <w:rsid w:val="5DBD6E37"/>
    <w:rsid w:val="5DF84E4C"/>
    <w:rsid w:val="5ED07137"/>
    <w:rsid w:val="5F5336C6"/>
    <w:rsid w:val="5F696993"/>
    <w:rsid w:val="5F893580"/>
    <w:rsid w:val="5F9F8D6B"/>
    <w:rsid w:val="5FB617CC"/>
    <w:rsid w:val="5FC300F6"/>
    <w:rsid w:val="5FC871A1"/>
    <w:rsid w:val="601803E4"/>
    <w:rsid w:val="60446457"/>
    <w:rsid w:val="606B14A6"/>
    <w:rsid w:val="608F7D8C"/>
    <w:rsid w:val="60D86094"/>
    <w:rsid w:val="61501CC2"/>
    <w:rsid w:val="626A041D"/>
    <w:rsid w:val="629E3750"/>
    <w:rsid w:val="629F3310"/>
    <w:rsid w:val="6335155F"/>
    <w:rsid w:val="63CA27B9"/>
    <w:rsid w:val="63EB4732"/>
    <w:rsid w:val="63EF0129"/>
    <w:rsid w:val="6403092C"/>
    <w:rsid w:val="640E211E"/>
    <w:rsid w:val="64926869"/>
    <w:rsid w:val="65293CF3"/>
    <w:rsid w:val="655A0F08"/>
    <w:rsid w:val="65965493"/>
    <w:rsid w:val="65DE1150"/>
    <w:rsid w:val="665656B8"/>
    <w:rsid w:val="66A10763"/>
    <w:rsid w:val="66E33F73"/>
    <w:rsid w:val="66F93E16"/>
    <w:rsid w:val="6734438B"/>
    <w:rsid w:val="678A2CE7"/>
    <w:rsid w:val="67AE3767"/>
    <w:rsid w:val="67EF9F56"/>
    <w:rsid w:val="682263F0"/>
    <w:rsid w:val="685B2267"/>
    <w:rsid w:val="687E5869"/>
    <w:rsid w:val="6891494E"/>
    <w:rsid w:val="68F6019C"/>
    <w:rsid w:val="68FA518E"/>
    <w:rsid w:val="693520D2"/>
    <w:rsid w:val="6A3F132F"/>
    <w:rsid w:val="6B0A4D35"/>
    <w:rsid w:val="6B555E67"/>
    <w:rsid w:val="6B9A7711"/>
    <w:rsid w:val="6BB95834"/>
    <w:rsid w:val="6BD42EB1"/>
    <w:rsid w:val="6BDC4E06"/>
    <w:rsid w:val="6BE742A1"/>
    <w:rsid w:val="6BF8523D"/>
    <w:rsid w:val="6C0C399E"/>
    <w:rsid w:val="6D7E2130"/>
    <w:rsid w:val="6DE626D9"/>
    <w:rsid w:val="6DE73820"/>
    <w:rsid w:val="6DEB115D"/>
    <w:rsid w:val="6E03539D"/>
    <w:rsid w:val="6E362C08"/>
    <w:rsid w:val="6E9129F4"/>
    <w:rsid w:val="6EC6725B"/>
    <w:rsid w:val="6F014CA2"/>
    <w:rsid w:val="6FB41F60"/>
    <w:rsid w:val="712152F2"/>
    <w:rsid w:val="714B7A28"/>
    <w:rsid w:val="71BF067B"/>
    <w:rsid w:val="71C6221A"/>
    <w:rsid w:val="71DE24CE"/>
    <w:rsid w:val="722E51AA"/>
    <w:rsid w:val="72763192"/>
    <w:rsid w:val="73022D0F"/>
    <w:rsid w:val="73362C42"/>
    <w:rsid w:val="73533993"/>
    <w:rsid w:val="73624125"/>
    <w:rsid w:val="73AFDE7C"/>
    <w:rsid w:val="741C5C72"/>
    <w:rsid w:val="745A7C4E"/>
    <w:rsid w:val="751A6056"/>
    <w:rsid w:val="75214973"/>
    <w:rsid w:val="753C1475"/>
    <w:rsid w:val="754859FB"/>
    <w:rsid w:val="758F78CC"/>
    <w:rsid w:val="75C7C6DC"/>
    <w:rsid w:val="76012F46"/>
    <w:rsid w:val="762067B4"/>
    <w:rsid w:val="77361F43"/>
    <w:rsid w:val="773BAD11"/>
    <w:rsid w:val="782B7C2D"/>
    <w:rsid w:val="782F0B54"/>
    <w:rsid w:val="784E376C"/>
    <w:rsid w:val="786E6114"/>
    <w:rsid w:val="786F268C"/>
    <w:rsid w:val="78C060BE"/>
    <w:rsid w:val="78E230B7"/>
    <w:rsid w:val="79195F89"/>
    <w:rsid w:val="792203C3"/>
    <w:rsid w:val="793319D1"/>
    <w:rsid w:val="79382419"/>
    <w:rsid w:val="794F6D31"/>
    <w:rsid w:val="79641380"/>
    <w:rsid w:val="796C71BB"/>
    <w:rsid w:val="79835C31"/>
    <w:rsid w:val="79C60F2C"/>
    <w:rsid w:val="7A042945"/>
    <w:rsid w:val="7A1C62FE"/>
    <w:rsid w:val="7AB1763F"/>
    <w:rsid w:val="7AB55AE0"/>
    <w:rsid w:val="7ACC046E"/>
    <w:rsid w:val="7ADF08AB"/>
    <w:rsid w:val="7AF97BC9"/>
    <w:rsid w:val="7BB338FA"/>
    <w:rsid w:val="7BDB7B78"/>
    <w:rsid w:val="7C301F72"/>
    <w:rsid w:val="7C6F61CB"/>
    <w:rsid w:val="7C9E6198"/>
    <w:rsid w:val="7CF569C7"/>
    <w:rsid w:val="7D210987"/>
    <w:rsid w:val="7D543D1D"/>
    <w:rsid w:val="7D7C7EFC"/>
    <w:rsid w:val="7DC9F7B7"/>
    <w:rsid w:val="7DFB9416"/>
    <w:rsid w:val="7E1E2BC8"/>
    <w:rsid w:val="7E3F8881"/>
    <w:rsid w:val="7E515EAA"/>
    <w:rsid w:val="7E5C0DC7"/>
    <w:rsid w:val="7E91371A"/>
    <w:rsid w:val="7EE240A9"/>
    <w:rsid w:val="7EFBE5EA"/>
    <w:rsid w:val="7F4F4450"/>
    <w:rsid w:val="7F6646FF"/>
    <w:rsid w:val="7F9759A6"/>
    <w:rsid w:val="7FB0766F"/>
    <w:rsid w:val="7FC23A1A"/>
    <w:rsid w:val="7FE65F94"/>
    <w:rsid w:val="7FF34A79"/>
    <w:rsid w:val="9F986AB3"/>
    <w:rsid w:val="9FFD9E8B"/>
    <w:rsid w:val="A70E632A"/>
    <w:rsid w:val="BFEDFE87"/>
    <w:rsid w:val="BFFF5978"/>
    <w:rsid w:val="D1F7813F"/>
    <w:rsid w:val="D2CD337E"/>
    <w:rsid w:val="DBEEAF73"/>
    <w:rsid w:val="DF9F721D"/>
    <w:rsid w:val="DFF6BAD5"/>
    <w:rsid w:val="E3632FF9"/>
    <w:rsid w:val="E7CDA36A"/>
    <w:rsid w:val="EB9D78E9"/>
    <w:rsid w:val="EBFFE1A4"/>
    <w:rsid w:val="EFFD7B79"/>
    <w:rsid w:val="F17F5FAF"/>
    <w:rsid w:val="F1F58D01"/>
    <w:rsid w:val="F35EF8C1"/>
    <w:rsid w:val="F7FCD69C"/>
    <w:rsid w:val="FBBBCD64"/>
    <w:rsid w:val="FBDEF43C"/>
    <w:rsid w:val="FBEAE54A"/>
    <w:rsid w:val="FBF3C2A0"/>
    <w:rsid w:val="FCD25DFB"/>
    <w:rsid w:val="FE7732DE"/>
    <w:rsid w:val="FE9F5A2F"/>
    <w:rsid w:val="FFDFD507"/>
    <w:rsid w:val="FFEE2988"/>
    <w:rsid w:val="FFFBE8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6"/>
    <w:qFormat/>
    <w:uiPriority w:val="9"/>
    <w:pPr>
      <w:keepNext/>
      <w:keepLines/>
      <w:spacing w:before="100" w:beforeAutospacing="1" w:after="100" w:afterAutospacing="1" w:line="360" w:lineRule="auto"/>
      <w:ind w:firstLine="643" w:firstLineChars="200"/>
      <w:outlineLvl w:val="1"/>
    </w:pPr>
    <w:rPr>
      <w:rFonts w:ascii="仿宋_GB2312" w:hAnsi="Times New Roman" w:eastAsia="楷体_GB2312" w:cs="Times New Roman"/>
      <w:b/>
      <w:bCs/>
      <w:kern w:val="0"/>
      <w:sz w:val="32"/>
      <w:szCs w:val="32"/>
    </w:rPr>
  </w:style>
  <w:style w:type="paragraph" w:styleId="6">
    <w:name w:val="heading 3"/>
    <w:basedOn w:val="1"/>
    <w:next w:val="1"/>
    <w:link w:val="27"/>
    <w:qFormat/>
    <w:uiPriority w:val="9"/>
    <w:pPr>
      <w:keepNext/>
      <w:keepLines/>
      <w:spacing w:line="360" w:lineRule="auto"/>
      <w:ind w:firstLine="643" w:firstLineChars="200"/>
      <w:outlineLvl w:val="2"/>
    </w:pPr>
    <w:rPr>
      <w:rFonts w:ascii="仿宋_GB2312" w:hAnsi="Times New Roman" w:eastAsia="楷体_GB2312" w:cs="Times New Roman"/>
      <w:b/>
      <w:bCs/>
      <w:kern w:val="0"/>
      <w:sz w:val="32"/>
      <w:szCs w:val="3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tabs>
        <w:tab w:val="left" w:pos="1120"/>
      </w:tabs>
      <w:spacing w:line="360" w:lineRule="auto"/>
      <w:ind w:firstLine="200" w:firstLineChars="200"/>
    </w:pPr>
    <w:rPr>
      <w:rFonts w:eastAsia="宋体"/>
      <w:kern w:val="2"/>
      <w:sz w:val="24"/>
      <w:szCs w:val="24"/>
      <w:lang w:eastAsia="zh-CN"/>
    </w:rPr>
  </w:style>
  <w:style w:type="paragraph" w:styleId="3">
    <w:name w:val="Body Text"/>
    <w:basedOn w:val="1"/>
    <w:qFormat/>
    <w:uiPriority w:val="1"/>
    <w:pPr>
      <w:ind w:left="148"/>
    </w:pPr>
    <w:rPr>
      <w:rFonts w:ascii="宋体" w:hAnsi="宋体"/>
      <w:kern w:val="0"/>
      <w:szCs w:val="28"/>
      <w:lang w:eastAsia="en-US"/>
    </w:rPr>
  </w:style>
  <w:style w:type="paragraph" w:styleId="7">
    <w:name w:val="Normal Indent"/>
    <w:basedOn w:val="1"/>
    <w:qFormat/>
    <w:uiPriority w:val="0"/>
    <w:pPr>
      <w:ind w:firstLine="420" w:firstLineChars="200"/>
    </w:pPr>
    <w:rPr>
      <w:rFonts w:eastAsia="仿宋"/>
    </w:rPr>
  </w:style>
  <w:style w:type="paragraph" w:styleId="8">
    <w:name w:val="Document Map"/>
    <w:basedOn w:val="1"/>
    <w:link w:val="37"/>
    <w:qFormat/>
    <w:uiPriority w:val="0"/>
    <w:rPr>
      <w:rFonts w:ascii="宋体" w:eastAsia="宋体"/>
      <w:sz w:val="18"/>
      <w:szCs w:val="18"/>
    </w:rPr>
  </w:style>
  <w:style w:type="paragraph" w:styleId="9">
    <w:name w:val="toa heading"/>
    <w:basedOn w:val="1"/>
    <w:next w:val="1"/>
    <w:qFormat/>
    <w:uiPriority w:val="99"/>
    <w:pPr>
      <w:tabs>
        <w:tab w:val="left" w:pos="5940"/>
      </w:tabs>
      <w:spacing w:line="360" w:lineRule="auto"/>
      <w:ind w:firstLine="200" w:firstLineChars="200"/>
      <w:jc w:val="left"/>
    </w:pPr>
    <w:rPr>
      <w:rFonts w:ascii="Arial" w:hAnsi="Arial"/>
      <w:b/>
      <w:spacing w:val="6"/>
      <w:sz w:val="24"/>
    </w:rPr>
  </w:style>
  <w:style w:type="paragraph" w:styleId="10">
    <w:name w:val="annotation text"/>
    <w:basedOn w:val="1"/>
    <w:qFormat/>
    <w:uiPriority w:val="0"/>
    <w:pPr>
      <w:jc w:val="left"/>
    </w:pPr>
  </w:style>
  <w:style w:type="paragraph" w:styleId="11">
    <w:name w:val="Body Text Indent"/>
    <w:basedOn w:val="1"/>
    <w:next w:val="7"/>
    <w:qFormat/>
    <w:uiPriority w:val="0"/>
    <w:pPr>
      <w:spacing w:after="120"/>
      <w:ind w:left="420" w:leftChars="200"/>
    </w:pPr>
    <w:rPr>
      <w:rFonts w:ascii="Times New Roman" w:hAnsi="Times New Roman"/>
      <w:szCs w:val="32"/>
    </w:rPr>
  </w:style>
  <w:style w:type="paragraph" w:styleId="12">
    <w:name w:val="toc 3"/>
    <w:basedOn w:val="1"/>
    <w:next w:val="1"/>
    <w:qFormat/>
    <w:uiPriority w:val="0"/>
    <w:pPr>
      <w:ind w:left="840" w:leftChars="400"/>
    </w:pPr>
  </w:style>
  <w:style w:type="paragraph" w:styleId="13">
    <w:name w:val="Balloon Text"/>
    <w:basedOn w:val="1"/>
    <w:link w:val="30"/>
    <w:qFormat/>
    <w:uiPriority w:val="0"/>
    <w:rPr>
      <w:sz w:val="18"/>
      <w:szCs w:val="18"/>
    </w:rPr>
  </w:style>
  <w:style w:type="paragraph" w:styleId="14">
    <w:name w:val="footer"/>
    <w:basedOn w:val="1"/>
    <w:link w:val="25"/>
    <w:qFormat/>
    <w:uiPriority w:val="99"/>
    <w:pPr>
      <w:tabs>
        <w:tab w:val="center" w:pos="4153"/>
        <w:tab w:val="right" w:pos="8306"/>
      </w:tabs>
      <w:snapToGrid w:val="0"/>
      <w:jc w:val="left"/>
    </w:pPr>
    <w:rPr>
      <w:sz w:val="18"/>
    </w:rPr>
  </w:style>
  <w:style w:type="paragraph" w:styleId="15">
    <w:name w:val="header"/>
    <w:basedOn w:val="1"/>
    <w:link w:val="3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unhideWhenUsed/>
    <w:qFormat/>
    <w:uiPriority w:val="39"/>
    <w:pPr>
      <w:spacing w:line="360" w:lineRule="auto"/>
      <w:ind w:firstLine="200" w:firstLineChars="200"/>
    </w:pPr>
    <w:rPr>
      <w:rFonts w:ascii="Calibri" w:hAnsi="Calibri" w:eastAsia="仿宋_GB2312" w:cs="Times New Roman"/>
      <w:sz w:val="32"/>
      <w:szCs w:val="22"/>
    </w:rPr>
  </w:style>
  <w:style w:type="paragraph" w:styleId="17">
    <w:name w:val="toc 2"/>
    <w:basedOn w:val="1"/>
    <w:next w:val="1"/>
    <w:unhideWhenUsed/>
    <w:qFormat/>
    <w:uiPriority w:val="39"/>
    <w:pPr>
      <w:spacing w:line="360" w:lineRule="auto"/>
      <w:ind w:left="420" w:leftChars="200" w:firstLine="200" w:firstLineChars="200"/>
    </w:pPr>
    <w:rPr>
      <w:rFonts w:ascii="Calibri" w:hAnsi="Calibri" w:eastAsia="仿宋_GB2312" w:cs="Times New Roman"/>
      <w:sz w:val="32"/>
      <w:szCs w:val="22"/>
    </w:rPr>
  </w:style>
  <w:style w:type="paragraph" w:styleId="1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9">
    <w:name w:val="Body Text First Indent 2"/>
    <w:basedOn w:val="11"/>
    <w:unhideWhenUsed/>
    <w:qFormat/>
    <w:uiPriority w:val="99"/>
    <w:pPr>
      <w:ind w:firstLine="420" w:firstLineChars="200"/>
    </w:pPr>
    <w:rPr>
      <w:rFonts w:eastAsia="宋体"/>
      <w:szCs w:val="24"/>
    </w:rPr>
  </w:style>
  <w:style w:type="character" w:styleId="22">
    <w:name w:val="Strong"/>
    <w:basedOn w:val="21"/>
    <w:qFormat/>
    <w:uiPriority w:val="22"/>
    <w:rPr>
      <w:b/>
      <w:bCs/>
    </w:rPr>
  </w:style>
  <w:style w:type="character" w:styleId="23">
    <w:name w:val="page number"/>
    <w:basedOn w:val="21"/>
    <w:qFormat/>
    <w:uiPriority w:val="0"/>
  </w:style>
  <w:style w:type="character" w:styleId="24">
    <w:name w:val="Hyperlink"/>
    <w:unhideWhenUsed/>
    <w:qFormat/>
    <w:uiPriority w:val="99"/>
    <w:rPr>
      <w:color w:val="0000FF"/>
      <w:u w:val="single"/>
    </w:rPr>
  </w:style>
  <w:style w:type="character" w:customStyle="1" w:styleId="25">
    <w:name w:val="页脚 Char"/>
    <w:basedOn w:val="21"/>
    <w:link w:val="14"/>
    <w:qFormat/>
    <w:uiPriority w:val="99"/>
    <w:rPr>
      <w:rFonts w:asciiTheme="minorHAnsi" w:hAnsiTheme="minorHAnsi" w:eastAsiaTheme="minorEastAsia" w:cstheme="minorBidi"/>
      <w:kern w:val="2"/>
      <w:sz w:val="18"/>
      <w:szCs w:val="24"/>
    </w:rPr>
  </w:style>
  <w:style w:type="character" w:customStyle="1" w:styleId="26">
    <w:name w:val="标题 2 Char"/>
    <w:basedOn w:val="21"/>
    <w:link w:val="5"/>
    <w:qFormat/>
    <w:uiPriority w:val="9"/>
    <w:rPr>
      <w:rFonts w:ascii="仿宋_GB2312" w:eastAsia="楷体_GB2312"/>
      <w:b/>
      <w:bCs/>
      <w:sz w:val="32"/>
      <w:szCs w:val="32"/>
    </w:rPr>
  </w:style>
  <w:style w:type="character" w:customStyle="1" w:styleId="27">
    <w:name w:val="标题 3 Char"/>
    <w:basedOn w:val="21"/>
    <w:link w:val="6"/>
    <w:qFormat/>
    <w:uiPriority w:val="9"/>
    <w:rPr>
      <w:rFonts w:ascii="仿宋_GB2312" w:eastAsia="楷体_GB2312"/>
      <w:b/>
      <w:bCs/>
      <w:sz w:val="32"/>
      <w:szCs w:val="32"/>
    </w:rPr>
  </w:style>
  <w:style w:type="character" w:customStyle="1" w:styleId="28">
    <w:name w:val="标题 1 Char"/>
    <w:basedOn w:val="21"/>
    <w:link w:val="4"/>
    <w:qFormat/>
    <w:uiPriority w:val="0"/>
    <w:rPr>
      <w:rFonts w:asciiTheme="minorHAnsi" w:hAnsiTheme="minorHAnsi" w:eastAsiaTheme="minorEastAsia" w:cstheme="minorBidi"/>
      <w:b/>
      <w:bCs/>
      <w:kern w:val="44"/>
      <w:sz w:val="44"/>
      <w:szCs w:val="44"/>
    </w:rPr>
  </w:style>
  <w:style w:type="paragraph" w:styleId="29">
    <w:name w:val="List Paragraph"/>
    <w:basedOn w:val="1"/>
    <w:qFormat/>
    <w:uiPriority w:val="99"/>
    <w:pPr>
      <w:ind w:firstLine="420" w:firstLineChars="200"/>
    </w:pPr>
  </w:style>
  <w:style w:type="character" w:customStyle="1" w:styleId="30">
    <w:name w:val="批注框文本 Char"/>
    <w:basedOn w:val="21"/>
    <w:link w:val="13"/>
    <w:qFormat/>
    <w:uiPriority w:val="0"/>
    <w:rPr>
      <w:rFonts w:asciiTheme="minorHAnsi" w:hAnsiTheme="minorHAnsi" w:eastAsiaTheme="minorEastAsia" w:cstheme="minorBidi"/>
      <w:kern w:val="2"/>
      <w:sz w:val="18"/>
      <w:szCs w:val="18"/>
    </w:rPr>
  </w:style>
  <w:style w:type="character" w:customStyle="1" w:styleId="31">
    <w:name w:val="页眉 Char"/>
    <w:link w:val="15"/>
    <w:qFormat/>
    <w:uiPriority w:val="99"/>
    <w:rPr>
      <w:rFonts w:asciiTheme="minorHAnsi" w:hAnsiTheme="minorHAnsi" w:eastAsiaTheme="minorEastAsia" w:cstheme="minorBidi"/>
      <w:kern w:val="2"/>
      <w:sz w:val="18"/>
      <w:szCs w:val="24"/>
    </w:rPr>
  </w:style>
  <w:style w:type="paragraph" w:customStyle="1" w:styleId="32">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33">
    <w:name w:val="Body text|1"/>
    <w:basedOn w:val="1"/>
    <w:qFormat/>
    <w:uiPriority w:val="0"/>
    <w:pPr>
      <w:spacing w:line="382" w:lineRule="auto"/>
      <w:ind w:firstLine="400"/>
    </w:pPr>
    <w:rPr>
      <w:rFonts w:ascii="宋体" w:hAnsi="宋体" w:eastAsia="宋体" w:cs="宋体"/>
      <w:sz w:val="34"/>
      <w:szCs w:val="34"/>
      <w:lang w:val="zh-TW" w:eastAsia="zh-TW" w:bidi="zh-TW"/>
    </w:rPr>
  </w:style>
  <w:style w:type="paragraph" w:customStyle="1" w:styleId="34">
    <w:name w:val="Header or footer|1"/>
    <w:basedOn w:val="1"/>
    <w:qFormat/>
    <w:uiPriority w:val="0"/>
    <w:rPr>
      <w:sz w:val="18"/>
      <w:szCs w:val="18"/>
      <w:lang w:val="zh-TW" w:eastAsia="zh-TW" w:bidi="zh-TW"/>
    </w:rPr>
  </w:style>
  <w:style w:type="paragraph" w:customStyle="1" w:styleId="35">
    <w:name w:val="Body text|3"/>
    <w:basedOn w:val="1"/>
    <w:qFormat/>
    <w:uiPriority w:val="0"/>
    <w:pPr>
      <w:spacing w:before="290" w:after="4630"/>
      <w:jc w:val="center"/>
    </w:pPr>
    <w:rPr>
      <w:rFonts w:ascii="宋体" w:hAnsi="宋体" w:eastAsia="宋体" w:cs="宋体"/>
      <w:sz w:val="54"/>
      <w:szCs w:val="54"/>
      <w:lang w:val="zh-TW" w:eastAsia="zh-TW" w:bidi="zh-TW"/>
    </w:rPr>
  </w:style>
  <w:style w:type="paragraph" w:customStyle="1" w:styleId="36">
    <w:name w:val="Heading #2|1"/>
    <w:basedOn w:val="1"/>
    <w:qFormat/>
    <w:uiPriority w:val="0"/>
    <w:pPr>
      <w:spacing w:after="780" w:line="547" w:lineRule="exact"/>
      <w:jc w:val="center"/>
      <w:outlineLvl w:val="1"/>
    </w:pPr>
    <w:rPr>
      <w:rFonts w:ascii="宋体" w:hAnsi="宋体" w:eastAsia="宋体" w:cs="宋体"/>
      <w:sz w:val="40"/>
      <w:szCs w:val="40"/>
      <w:lang w:val="zh-TW" w:eastAsia="zh-TW" w:bidi="zh-TW"/>
    </w:rPr>
  </w:style>
  <w:style w:type="character" w:customStyle="1" w:styleId="37">
    <w:name w:val="文档结构图 Char"/>
    <w:basedOn w:val="21"/>
    <w:link w:val="8"/>
    <w:qFormat/>
    <w:uiPriority w:val="0"/>
    <w:rPr>
      <w:rFonts w:ascii="宋体" w:hAnsiTheme="minorHAnsi" w:cstheme="minorBidi"/>
      <w:kern w:val="2"/>
      <w:sz w:val="18"/>
      <w:szCs w:val="18"/>
    </w:rPr>
  </w:style>
  <w:style w:type="character" w:customStyle="1" w:styleId="38">
    <w:name w:val="font71"/>
    <w:basedOn w:val="21"/>
    <w:qFormat/>
    <w:uiPriority w:val="0"/>
    <w:rPr>
      <w:rFonts w:hint="default" w:ascii="Times New Roman" w:hAnsi="Times New Roman" w:cs="Times New Roman"/>
      <w:color w:val="000000"/>
      <w:sz w:val="24"/>
      <w:szCs w:val="24"/>
      <w:u w:val="none"/>
    </w:rPr>
  </w:style>
  <w:style w:type="character" w:customStyle="1" w:styleId="39">
    <w:name w:val="font61"/>
    <w:basedOn w:val="21"/>
    <w:qFormat/>
    <w:uiPriority w:val="0"/>
    <w:rPr>
      <w:rFonts w:hint="eastAsia" w:ascii="黑体" w:hAnsi="宋体" w:eastAsia="黑体" w:cs="黑体"/>
      <w:color w:val="000000"/>
      <w:sz w:val="24"/>
      <w:szCs w:val="24"/>
      <w:u w:val="none"/>
    </w:rPr>
  </w:style>
  <w:style w:type="character" w:customStyle="1" w:styleId="40">
    <w:name w:val="font91"/>
    <w:basedOn w:val="21"/>
    <w:qFormat/>
    <w:uiPriority w:val="0"/>
    <w:rPr>
      <w:rFonts w:hint="eastAsia" w:ascii="宋体" w:hAnsi="宋体" w:eastAsia="宋体" w:cs="宋体"/>
      <w:color w:val="000000"/>
      <w:sz w:val="16"/>
      <w:szCs w:val="16"/>
      <w:u w:val="none"/>
    </w:rPr>
  </w:style>
  <w:style w:type="character" w:customStyle="1" w:styleId="41">
    <w:name w:val="font81"/>
    <w:basedOn w:val="21"/>
    <w:qFormat/>
    <w:uiPriority w:val="0"/>
    <w:rPr>
      <w:rFonts w:hint="eastAsia" w:ascii="宋体" w:hAnsi="宋体" w:eastAsia="宋体" w:cs="宋体"/>
      <w:color w:val="000000"/>
      <w:sz w:val="16"/>
      <w:szCs w:val="16"/>
      <w:u w:val="none"/>
      <w:vertAlign w:val="superscript"/>
    </w:rPr>
  </w:style>
  <w:style w:type="character" w:customStyle="1" w:styleId="42">
    <w:name w:val="font112"/>
    <w:basedOn w:val="21"/>
    <w:qFormat/>
    <w:uiPriority w:val="0"/>
    <w:rPr>
      <w:rFonts w:hint="eastAsia" w:ascii="黑体" w:hAnsi="宋体" w:eastAsia="黑体" w:cs="黑体"/>
      <w:color w:val="000000"/>
      <w:sz w:val="24"/>
      <w:szCs w:val="24"/>
      <w:u w:val="none"/>
    </w:rPr>
  </w:style>
  <w:style w:type="character" w:customStyle="1" w:styleId="43">
    <w:name w:val="font51"/>
    <w:basedOn w:val="21"/>
    <w:qFormat/>
    <w:uiPriority w:val="0"/>
    <w:rPr>
      <w:rFonts w:hint="default" w:ascii="Times New Roman" w:hAnsi="Times New Roman" w:cs="Times New Roman"/>
      <w:color w:val="000000"/>
      <w:sz w:val="24"/>
      <w:szCs w:val="24"/>
      <w:u w:val="none"/>
    </w:rPr>
  </w:style>
  <w:style w:type="character" w:customStyle="1" w:styleId="44">
    <w:name w:val="font11"/>
    <w:basedOn w:val="21"/>
    <w:qFormat/>
    <w:uiPriority w:val="0"/>
    <w:rPr>
      <w:rFonts w:hint="eastAsia" w:ascii="宋体" w:hAnsi="宋体" w:eastAsia="宋体" w:cs="宋体"/>
      <w:color w:val="000000"/>
      <w:sz w:val="16"/>
      <w:szCs w:val="16"/>
      <w:u w:val="none"/>
    </w:rPr>
  </w:style>
  <w:style w:type="character" w:customStyle="1" w:styleId="45">
    <w:name w:val="font21"/>
    <w:basedOn w:val="21"/>
    <w:qFormat/>
    <w:uiPriority w:val="0"/>
    <w:rPr>
      <w:rFonts w:hint="eastAsia" w:ascii="宋体" w:hAnsi="宋体" w:eastAsia="宋体" w:cs="宋体"/>
      <w:color w:val="000000"/>
      <w:sz w:val="16"/>
      <w:szCs w:val="16"/>
      <w:u w:val="none"/>
    </w:rPr>
  </w:style>
  <w:style w:type="character" w:customStyle="1" w:styleId="46">
    <w:name w:val="font41"/>
    <w:basedOn w:val="21"/>
    <w:qFormat/>
    <w:uiPriority w:val="0"/>
    <w:rPr>
      <w:rFonts w:hint="eastAsia" w:ascii="黑体" w:hAnsi="宋体" w:eastAsia="黑体" w:cs="黑体"/>
      <w:color w:val="000000"/>
      <w:sz w:val="24"/>
      <w:szCs w:val="24"/>
      <w:u w:val="none"/>
    </w:rPr>
  </w:style>
  <w:style w:type="character" w:customStyle="1" w:styleId="47">
    <w:name w:val="font01"/>
    <w:basedOn w:val="21"/>
    <w:qFormat/>
    <w:uiPriority w:val="0"/>
    <w:rPr>
      <w:rFonts w:hint="eastAsia" w:ascii="宋体" w:hAnsi="宋体" w:eastAsia="宋体" w:cs="宋体"/>
      <w:color w:val="000000"/>
      <w:sz w:val="16"/>
      <w:szCs w:val="16"/>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4631</Words>
  <Characters>26397</Characters>
  <Lines>219</Lines>
  <Paragraphs>61</Paragraphs>
  <TotalTime>19</TotalTime>
  <ScaleCrop>false</ScaleCrop>
  <LinksUpToDate>false</LinksUpToDate>
  <CharactersWithSpaces>30967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2021-02-17T00:25:00Z</dcterms:created>
  <dc:creator>shuiliju</dc:creator>
  <cp:lastModifiedBy>晚安，旧时光</cp:lastModifiedBy>
  <cp:lastPrinted>2021-03-27T00:43:00Z</cp:lastPrinted>
  <dcterms:modified xsi:type="dcterms:W3CDTF">2021-11-24T11:16:38Z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